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2AA62" w14:textId="77777777" w:rsidR="000361D3" w:rsidRPr="004951ED" w:rsidRDefault="000361D3" w:rsidP="000361D3">
      <w:pPr>
        <w:jc w:val="center"/>
        <w:rPr>
          <w:b/>
          <w:bCs/>
        </w:rPr>
      </w:pPr>
      <w:r w:rsidRPr="004951ED">
        <w:rPr>
          <w:b/>
          <w:bCs/>
        </w:rPr>
        <w:t>Exposure Draft</w:t>
      </w:r>
    </w:p>
    <w:p w14:paraId="254F69A3" w14:textId="77777777" w:rsidR="000361D3" w:rsidRPr="004951ED" w:rsidRDefault="000361D3" w:rsidP="000361D3">
      <w:pPr>
        <w:jc w:val="center"/>
        <w:rPr>
          <w:b/>
          <w:bCs/>
        </w:rPr>
      </w:pPr>
      <w:r w:rsidRPr="004951ED">
        <w:rPr>
          <w:b/>
          <w:bCs/>
        </w:rPr>
        <w:t>Indian Accounting Standard (Ind AS) 119</w:t>
      </w:r>
    </w:p>
    <w:p w14:paraId="72946BC0" w14:textId="77777777" w:rsidR="000361D3" w:rsidRPr="004951ED" w:rsidRDefault="000361D3" w:rsidP="000361D3">
      <w:pPr>
        <w:jc w:val="center"/>
        <w:rPr>
          <w:b/>
          <w:bCs/>
        </w:rPr>
      </w:pPr>
      <w:r w:rsidRPr="004951ED">
        <w:rPr>
          <w:b/>
          <w:bCs/>
        </w:rPr>
        <w:t>Subsidiaries without Public Accountability: Disclosures</w:t>
      </w:r>
    </w:p>
    <w:p w14:paraId="42F6A746" w14:textId="77777777" w:rsidR="000361D3" w:rsidRPr="004951ED" w:rsidRDefault="000361D3" w:rsidP="000361D3">
      <w:pPr>
        <w:jc w:val="center"/>
        <w:rPr>
          <w:b/>
          <w:bCs/>
        </w:rPr>
      </w:pPr>
      <w:r w:rsidRPr="004951ED">
        <w:rPr>
          <w:b/>
          <w:bCs/>
        </w:rPr>
        <w:t>(Last Date for comments: March 5, 2026)</w:t>
      </w:r>
    </w:p>
    <w:p w14:paraId="470D4B90" w14:textId="77777777" w:rsidR="000361D3" w:rsidRDefault="000361D3" w:rsidP="000361D3">
      <w:pPr>
        <w:jc w:val="center"/>
      </w:pPr>
    </w:p>
    <w:p w14:paraId="21B1C31A" w14:textId="77777777" w:rsidR="000361D3" w:rsidRDefault="000361D3" w:rsidP="000361D3">
      <w:pPr>
        <w:jc w:val="center"/>
      </w:pPr>
    </w:p>
    <w:p w14:paraId="167B74F6" w14:textId="77777777" w:rsidR="000361D3" w:rsidRDefault="000361D3" w:rsidP="000361D3">
      <w:pPr>
        <w:jc w:val="center"/>
      </w:pPr>
    </w:p>
    <w:p w14:paraId="2E12604C" w14:textId="77777777" w:rsidR="000361D3" w:rsidRDefault="000361D3" w:rsidP="000361D3">
      <w:pPr>
        <w:jc w:val="center"/>
      </w:pPr>
    </w:p>
    <w:p w14:paraId="69C610C2" w14:textId="77777777" w:rsidR="000361D3" w:rsidRDefault="000361D3" w:rsidP="000361D3">
      <w:pPr>
        <w:jc w:val="center"/>
      </w:pPr>
    </w:p>
    <w:p w14:paraId="6A2F6FC4" w14:textId="77777777" w:rsidR="000361D3" w:rsidRDefault="000361D3" w:rsidP="000361D3">
      <w:pPr>
        <w:jc w:val="center"/>
      </w:pPr>
    </w:p>
    <w:p w14:paraId="74043D85" w14:textId="77777777" w:rsidR="000361D3" w:rsidRDefault="000361D3" w:rsidP="000361D3">
      <w:pPr>
        <w:jc w:val="center"/>
      </w:pPr>
    </w:p>
    <w:p w14:paraId="11588CA4" w14:textId="77777777" w:rsidR="000361D3" w:rsidRDefault="000361D3" w:rsidP="000361D3">
      <w:pPr>
        <w:jc w:val="center"/>
      </w:pPr>
    </w:p>
    <w:p w14:paraId="723F1F2B" w14:textId="77777777" w:rsidR="000361D3" w:rsidRDefault="000361D3" w:rsidP="000361D3">
      <w:pPr>
        <w:jc w:val="center"/>
      </w:pPr>
    </w:p>
    <w:p w14:paraId="145ADFFB" w14:textId="77777777" w:rsidR="000361D3" w:rsidRDefault="000361D3" w:rsidP="000361D3">
      <w:pPr>
        <w:jc w:val="center"/>
      </w:pPr>
    </w:p>
    <w:p w14:paraId="41891F01" w14:textId="77777777" w:rsidR="000361D3" w:rsidRDefault="000361D3" w:rsidP="000361D3">
      <w:pPr>
        <w:jc w:val="center"/>
      </w:pPr>
    </w:p>
    <w:p w14:paraId="2E3D34DB" w14:textId="1785D3DC" w:rsidR="000361D3" w:rsidRDefault="000361D3" w:rsidP="000361D3">
      <w:pPr>
        <w:jc w:val="center"/>
      </w:pPr>
      <w:r w:rsidRPr="000361D3">
        <w:rPr>
          <w:noProof/>
        </w:rPr>
        <w:drawing>
          <wp:inline distT="0" distB="0" distL="0" distR="0" wp14:anchorId="4DACC4AF" wp14:editId="041D5FBD">
            <wp:extent cx="1861200" cy="1861200"/>
            <wp:effectExtent l="0" t="0" r="5715" b="5715"/>
            <wp:docPr id="777731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1200" cy="1861200"/>
                    </a:xfrm>
                    <a:prstGeom prst="rect">
                      <a:avLst/>
                    </a:prstGeom>
                    <a:noFill/>
                    <a:ln>
                      <a:noFill/>
                    </a:ln>
                  </pic:spPr>
                </pic:pic>
              </a:graphicData>
            </a:graphic>
          </wp:inline>
        </w:drawing>
      </w:r>
    </w:p>
    <w:p w14:paraId="0B7C1275" w14:textId="77777777" w:rsidR="000361D3" w:rsidRPr="004951ED" w:rsidRDefault="000361D3" w:rsidP="000361D3">
      <w:pPr>
        <w:jc w:val="center"/>
        <w:rPr>
          <w:b/>
          <w:bCs/>
        </w:rPr>
      </w:pPr>
      <w:r w:rsidRPr="004951ED">
        <w:rPr>
          <w:b/>
          <w:bCs/>
        </w:rPr>
        <w:t>Issued by</w:t>
      </w:r>
    </w:p>
    <w:p w14:paraId="31DCC6CE" w14:textId="77777777" w:rsidR="000361D3" w:rsidRPr="004951ED" w:rsidRDefault="000361D3" w:rsidP="000361D3">
      <w:pPr>
        <w:jc w:val="center"/>
        <w:rPr>
          <w:b/>
          <w:bCs/>
        </w:rPr>
      </w:pPr>
      <w:r w:rsidRPr="004951ED">
        <w:rPr>
          <w:b/>
          <w:bCs/>
        </w:rPr>
        <w:t>Accounting Standards Board</w:t>
      </w:r>
    </w:p>
    <w:p w14:paraId="2084E7A6" w14:textId="14FBECDB" w:rsidR="00714B38" w:rsidRPr="004951ED" w:rsidRDefault="000361D3" w:rsidP="000361D3">
      <w:pPr>
        <w:jc w:val="center"/>
        <w:rPr>
          <w:b/>
          <w:bCs/>
        </w:rPr>
      </w:pPr>
      <w:r w:rsidRPr="004951ED">
        <w:rPr>
          <w:b/>
          <w:bCs/>
        </w:rPr>
        <w:t>The Institute</w:t>
      </w:r>
      <w:r w:rsidRPr="004951ED">
        <w:rPr>
          <w:b/>
          <w:bCs/>
        </w:rPr>
        <w:t xml:space="preserve"> </w:t>
      </w:r>
      <w:r w:rsidRPr="004951ED">
        <w:rPr>
          <w:b/>
          <w:bCs/>
        </w:rPr>
        <w:t>of Chartered Accountants of India</w:t>
      </w:r>
    </w:p>
    <w:p w14:paraId="4C5B3C72" w14:textId="77777777" w:rsidR="006E1D0F" w:rsidRDefault="006E1D0F" w:rsidP="000361D3">
      <w:pPr>
        <w:jc w:val="center"/>
      </w:pPr>
    </w:p>
    <w:p w14:paraId="360C80B3" w14:textId="77777777" w:rsidR="004951ED" w:rsidRDefault="004951ED" w:rsidP="000361D3">
      <w:pPr>
        <w:jc w:val="center"/>
      </w:pPr>
    </w:p>
    <w:p w14:paraId="7AF0EC2D" w14:textId="77777777" w:rsidR="006E1D0F" w:rsidRPr="00741300" w:rsidRDefault="006E1D0F" w:rsidP="00741300">
      <w:pPr>
        <w:spacing w:after="0" w:line="360" w:lineRule="auto"/>
        <w:jc w:val="center"/>
        <w:rPr>
          <w:rFonts w:ascii="Nirmala UI" w:hAnsi="Nirmala UI" w:cs="Nirmala UI"/>
          <w:sz w:val="28"/>
          <w:szCs w:val="28"/>
        </w:rPr>
      </w:pPr>
    </w:p>
    <w:p w14:paraId="589C8855" w14:textId="19712B16" w:rsidR="006E1D0F" w:rsidRPr="00587E7A" w:rsidRDefault="00587E7A" w:rsidP="00587E7A">
      <w:pPr>
        <w:spacing w:after="0" w:line="360" w:lineRule="auto"/>
        <w:jc w:val="both"/>
        <w:rPr>
          <w:rFonts w:ascii="Nirmala UI" w:hAnsi="Nirmala UI" w:cs="Nirmala UI"/>
          <w:b/>
          <w:bCs/>
          <w:sz w:val="28"/>
          <w:szCs w:val="28"/>
          <w:u w:val="single"/>
        </w:rPr>
      </w:pPr>
      <w:r w:rsidRPr="00587E7A">
        <w:rPr>
          <w:rFonts w:ascii="Nirmala UI" w:hAnsi="Nirmala UI" w:cs="Nirmala UI"/>
          <w:b/>
          <w:bCs/>
          <w:sz w:val="28"/>
          <w:szCs w:val="28"/>
          <w:u w:val="single"/>
        </w:rPr>
        <w:lastRenderedPageBreak/>
        <w:t>I.</w:t>
      </w:r>
      <w:r>
        <w:rPr>
          <w:rFonts w:ascii="Nirmala UI" w:hAnsi="Nirmala UI" w:cs="Nirmala UI"/>
          <w:b/>
          <w:bCs/>
          <w:sz w:val="28"/>
          <w:szCs w:val="28"/>
          <w:u w:val="single"/>
        </w:rPr>
        <w:t xml:space="preserve"> </w:t>
      </w:r>
      <w:r w:rsidR="006E1D0F" w:rsidRPr="00587E7A">
        <w:rPr>
          <w:rFonts w:ascii="Nirmala UI" w:hAnsi="Nirmala UI" w:cs="Nirmala UI"/>
          <w:b/>
          <w:bCs/>
          <w:sz w:val="28"/>
          <w:szCs w:val="28"/>
          <w:u w:val="single"/>
        </w:rPr>
        <w:t>Comments</w:t>
      </w:r>
    </w:p>
    <w:p w14:paraId="1B570DB2" w14:textId="77777777" w:rsidR="00741300" w:rsidRDefault="00741300" w:rsidP="00741300">
      <w:pPr>
        <w:spacing w:after="0" w:line="360" w:lineRule="auto"/>
        <w:jc w:val="both"/>
        <w:rPr>
          <w:rFonts w:ascii="Nirmala UI" w:hAnsi="Nirmala UI" w:cs="Nirmala UI"/>
          <w:sz w:val="28"/>
          <w:szCs w:val="28"/>
        </w:rPr>
      </w:pPr>
    </w:p>
    <w:p w14:paraId="4A81CE1B" w14:textId="587B5FC2" w:rsidR="006E1D0F" w:rsidRPr="0034061B" w:rsidRDefault="0034061B" w:rsidP="0034061B">
      <w:pPr>
        <w:spacing w:after="0" w:line="360" w:lineRule="auto"/>
        <w:jc w:val="both"/>
        <w:rPr>
          <w:rFonts w:ascii="Nirmala UI" w:hAnsi="Nirmala UI" w:cs="Nirmala UI"/>
          <w:sz w:val="28"/>
          <w:szCs w:val="28"/>
        </w:rPr>
      </w:pPr>
      <w:r w:rsidRPr="0034061B">
        <w:rPr>
          <w:rFonts w:ascii="Nirmala UI" w:hAnsi="Nirmala UI" w:cs="Nirmala UI"/>
          <w:sz w:val="28"/>
          <w:szCs w:val="28"/>
        </w:rPr>
        <w:t>1.</w:t>
      </w:r>
      <w:r>
        <w:rPr>
          <w:rFonts w:ascii="Nirmala UI" w:hAnsi="Nirmala UI" w:cs="Nirmala UI"/>
          <w:sz w:val="28"/>
          <w:szCs w:val="28"/>
        </w:rPr>
        <w:t xml:space="preserve"> </w:t>
      </w:r>
      <w:r w:rsidR="006E1D0F" w:rsidRPr="0034061B">
        <w:rPr>
          <w:rFonts w:ascii="Nirmala UI" w:hAnsi="Nirmala UI" w:cs="Nirmala UI"/>
          <w:sz w:val="28"/>
          <w:szCs w:val="28"/>
        </w:rPr>
        <w:t xml:space="preserve">SIRC of ICAI is of the view that </w:t>
      </w:r>
      <w:r w:rsidR="006E1D0F" w:rsidRPr="0034061B">
        <w:rPr>
          <w:rFonts w:ascii="Nirmala UI" w:hAnsi="Nirmala UI" w:cs="Nirmala UI"/>
          <w:sz w:val="28"/>
          <w:szCs w:val="28"/>
        </w:rPr>
        <w:t xml:space="preserve">the benefits of implementing the Standard would outweigh the implementation and ongoing costs, particularly given that </w:t>
      </w:r>
      <w:proofErr w:type="spellStart"/>
      <w:r w:rsidR="006E1D0F" w:rsidRPr="0034061B">
        <w:rPr>
          <w:rFonts w:ascii="Nirmala UI" w:hAnsi="Nirmala UI" w:cs="Nirmala UI"/>
          <w:sz w:val="28"/>
          <w:szCs w:val="28"/>
        </w:rPr>
        <w:t>I</w:t>
      </w:r>
      <w:r w:rsidR="006E1D0F" w:rsidRPr="0034061B">
        <w:rPr>
          <w:rFonts w:ascii="Nirmala UI" w:hAnsi="Nirmala UI" w:cs="Nirmala UI"/>
          <w:sz w:val="28"/>
          <w:szCs w:val="28"/>
        </w:rPr>
        <w:t>ndAS</w:t>
      </w:r>
      <w:proofErr w:type="spellEnd"/>
      <w:r w:rsidR="006E1D0F" w:rsidRPr="0034061B">
        <w:rPr>
          <w:rFonts w:ascii="Nirmala UI" w:hAnsi="Nirmala UI" w:cs="Nirmala UI"/>
          <w:sz w:val="28"/>
          <w:szCs w:val="28"/>
        </w:rPr>
        <w:t xml:space="preserve"> </w:t>
      </w:r>
      <w:r w:rsidR="008D591C" w:rsidRPr="0034061B">
        <w:rPr>
          <w:rFonts w:ascii="Nirmala UI" w:hAnsi="Nirmala UI" w:cs="Nirmala UI"/>
          <w:sz w:val="28"/>
          <w:szCs w:val="28"/>
        </w:rPr>
        <w:t>1</w:t>
      </w:r>
      <w:r w:rsidR="006E1D0F" w:rsidRPr="0034061B">
        <w:rPr>
          <w:rFonts w:ascii="Nirmala UI" w:hAnsi="Nirmala UI" w:cs="Nirmala UI"/>
          <w:sz w:val="28"/>
          <w:szCs w:val="28"/>
        </w:rPr>
        <w:t>19 is a voluntary Standard, which will only be applied by those entities or group of entities for which it is proven beneficial.</w:t>
      </w:r>
      <w:r w:rsidR="006E1D0F" w:rsidRPr="0034061B">
        <w:rPr>
          <w:rFonts w:ascii="Nirmala UI" w:hAnsi="Nirmala UI" w:cs="Nirmala UI"/>
          <w:sz w:val="28"/>
          <w:szCs w:val="28"/>
        </w:rPr>
        <w:t xml:space="preserve"> T</w:t>
      </w:r>
      <w:r w:rsidR="006E1D0F" w:rsidRPr="0034061B">
        <w:rPr>
          <w:rFonts w:ascii="Nirmala UI" w:hAnsi="Nirmala UI" w:cs="Nirmala UI"/>
          <w:sz w:val="28"/>
          <w:szCs w:val="28"/>
        </w:rPr>
        <w:t xml:space="preserve">he costs and benefits from the implementation of </w:t>
      </w:r>
      <w:proofErr w:type="spellStart"/>
      <w:r w:rsidR="006E1D0F" w:rsidRPr="0034061B">
        <w:rPr>
          <w:rFonts w:ascii="Nirmala UI" w:hAnsi="Nirmala UI" w:cs="Nirmala UI"/>
          <w:sz w:val="28"/>
          <w:szCs w:val="28"/>
        </w:rPr>
        <w:t>IndAS</w:t>
      </w:r>
      <w:proofErr w:type="spellEnd"/>
      <w:r w:rsidR="006E1D0F" w:rsidRPr="0034061B">
        <w:rPr>
          <w:rFonts w:ascii="Nirmala UI" w:hAnsi="Nirmala UI" w:cs="Nirmala UI"/>
          <w:sz w:val="28"/>
          <w:szCs w:val="28"/>
        </w:rPr>
        <w:t xml:space="preserve"> </w:t>
      </w:r>
      <w:r w:rsidR="006E1D0F" w:rsidRPr="0034061B">
        <w:rPr>
          <w:rFonts w:ascii="Nirmala UI" w:hAnsi="Nirmala UI" w:cs="Nirmala UI"/>
          <w:sz w:val="28"/>
          <w:szCs w:val="28"/>
        </w:rPr>
        <w:t>1</w:t>
      </w:r>
      <w:r w:rsidR="006E1D0F" w:rsidRPr="0034061B">
        <w:rPr>
          <w:rFonts w:ascii="Nirmala UI" w:hAnsi="Nirmala UI" w:cs="Nirmala UI"/>
          <w:sz w:val="28"/>
          <w:szCs w:val="28"/>
        </w:rPr>
        <w:t>1</w:t>
      </w:r>
      <w:r w:rsidR="006E1D0F" w:rsidRPr="0034061B">
        <w:rPr>
          <w:rFonts w:ascii="Nirmala UI" w:hAnsi="Nirmala UI" w:cs="Nirmala UI"/>
          <w:sz w:val="28"/>
          <w:szCs w:val="28"/>
        </w:rPr>
        <w:t xml:space="preserve">9 will vary across jurisdictions and entities and that the overall benefits will increase with wider acceptance of </w:t>
      </w:r>
      <w:r w:rsidR="006E1D0F" w:rsidRPr="0034061B">
        <w:rPr>
          <w:rFonts w:ascii="Nirmala UI" w:hAnsi="Nirmala UI" w:cs="Nirmala UI"/>
          <w:sz w:val="28"/>
          <w:szCs w:val="28"/>
        </w:rPr>
        <w:t xml:space="preserve">the standard in India. </w:t>
      </w:r>
      <w:r w:rsidR="000E1E49" w:rsidRPr="0034061B">
        <w:rPr>
          <w:rFonts w:ascii="Nirmala UI" w:hAnsi="Nirmala UI" w:cs="Nirmala UI"/>
          <w:sz w:val="28"/>
          <w:szCs w:val="28"/>
        </w:rPr>
        <w:t>The standard will enable more relevant information provided for the assessment of the net assets, financial position and results of operations.</w:t>
      </w:r>
      <w:r w:rsidR="000E1E49" w:rsidRPr="0034061B">
        <w:rPr>
          <w:rFonts w:ascii="Nirmala UI" w:hAnsi="Nirmala UI" w:cs="Nirmala UI"/>
          <w:sz w:val="28"/>
          <w:szCs w:val="28"/>
        </w:rPr>
        <w:t xml:space="preserve"> </w:t>
      </w:r>
      <w:proofErr w:type="spellStart"/>
      <w:r w:rsidR="00EE4908" w:rsidRPr="0034061B">
        <w:rPr>
          <w:rFonts w:ascii="Nirmala UI" w:hAnsi="Nirmala UI" w:cs="Nirmala UI"/>
          <w:sz w:val="28"/>
          <w:szCs w:val="28"/>
        </w:rPr>
        <w:t>I</w:t>
      </w:r>
      <w:r w:rsidR="00EE4908" w:rsidRPr="0034061B">
        <w:rPr>
          <w:rFonts w:ascii="Nirmala UI" w:hAnsi="Nirmala UI" w:cs="Nirmala UI"/>
          <w:sz w:val="28"/>
          <w:szCs w:val="28"/>
        </w:rPr>
        <w:t>ndAS</w:t>
      </w:r>
      <w:proofErr w:type="spellEnd"/>
      <w:r w:rsidR="00EE4908" w:rsidRPr="0034061B">
        <w:rPr>
          <w:rFonts w:ascii="Nirmala UI" w:hAnsi="Nirmala UI" w:cs="Nirmala UI"/>
          <w:sz w:val="28"/>
          <w:szCs w:val="28"/>
        </w:rPr>
        <w:t xml:space="preserve"> </w:t>
      </w:r>
      <w:r w:rsidR="00EE4908" w:rsidRPr="0034061B">
        <w:rPr>
          <w:rFonts w:ascii="Nirmala UI" w:hAnsi="Nirmala UI" w:cs="Nirmala UI"/>
          <w:sz w:val="28"/>
          <w:szCs w:val="28"/>
        </w:rPr>
        <w:t>1</w:t>
      </w:r>
      <w:r w:rsidR="00EE4908" w:rsidRPr="0034061B">
        <w:rPr>
          <w:rFonts w:ascii="Nirmala UI" w:hAnsi="Nirmala UI" w:cs="Nirmala UI"/>
          <w:sz w:val="28"/>
          <w:szCs w:val="28"/>
        </w:rPr>
        <w:t>19 will reduce the financial reporting burden and save costs for eligible subsidiaries without reducing the relevance and usefulness of the information for users of their financial statements.</w:t>
      </w:r>
      <w:r w:rsidR="00A80F8C" w:rsidRPr="0034061B">
        <w:rPr>
          <w:rFonts w:ascii="Nirmala UI" w:hAnsi="Nirmala UI" w:cs="Nirmala UI"/>
          <w:sz w:val="28"/>
          <w:szCs w:val="28"/>
        </w:rPr>
        <w:t xml:space="preserve"> The standard </w:t>
      </w:r>
      <w:r w:rsidR="00A80F8C" w:rsidRPr="0034061B">
        <w:rPr>
          <w:rFonts w:ascii="Nirmala UI" w:hAnsi="Nirmala UI" w:cs="Nirmala UI"/>
          <w:sz w:val="28"/>
          <w:szCs w:val="28"/>
        </w:rPr>
        <w:t>meets the criteria of understandability, relevance, reliability and comparability required of the financial information needed for making economic decisions and assessing the stewardship of management.</w:t>
      </w:r>
      <w:r w:rsidR="00A80F8C" w:rsidRPr="0034061B">
        <w:rPr>
          <w:rFonts w:ascii="Nirmala UI" w:hAnsi="Nirmala UI" w:cs="Nirmala UI"/>
          <w:sz w:val="28"/>
          <w:szCs w:val="28"/>
        </w:rPr>
        <w:t xml:space="preserve"> T</w:t>
      </w:r>
      <w:r w:rsidR="00A80F8C" w:rsidRPr="0034061B">
        <w:rPr>
          <w:rFonts w:ascii="Nirmala UI" w:hAnsi="Nirmala UI" w:cs="Nirmala UI"/>
          <w:sz w:val="28"/>
          <w:szCs w:val="28"/>
        </w:rPr>
        <w:t>he relevant user</w:t>
      </w:r>
      <w:r w:rsidR="00A80F8C" w:rsidRPr="0034061B">
        <w:rPr>
          <w:rFonts w:ascii="Nirmala UI" w:hAnsi="Nirmala UI" w:cs="Nirmala UI"/>
          <w:sz w:val="28"/>
          <w:szCs w:val="28"/>
        </w:rPr>
        <w:t>s are</w:t>
      </w:r>
      <w:r w:rsidR="00A80F8C" w:rsidRPr="0034061B">
        <w:rPr>
          <w:rFonts w:ascii="Nirmala UI" w:hAnsi="Nirmala UI" w:cs="Nirmala UI"/>
          <w:sz w:val="28"/>
          <w:szCs w:val="28"/>
        </w:rPr>
        <w:t xml:space="preserve"> interested in subsidiaries’ financial statements is typically lenders, who focus particularly on short-term cash flow information, long-term solvency, overall profitability and information about obligations, commitments or contingencies, and whether or not they are recognised as liabilities, which is in line with the principles used for elaborating the disclosures.</w:t>
      </w:r>
      <w:r w:rsidR="00484CA3" w:rsidRPr="0034061B">
        <w:rPr>
          <w:rFonts w:ascii="Nirmala UI" w:hAnsi="Nirmala UI" w:cs="Nirmala UI"/>
          <w:sz w:val="28"/>
          <w:szCs w:val="28"/>
        </w:rPr>
        <w:t xml:space="preserve"> At the same time, it is </w:t>
      </w:r>
      <w:r w:rsidR="00484CA3" w:rsidRPr="0034061B">
        <w:rPr>
          <w:rFonts w:ascii="Nirmala UI" w:hAnsi="Nirmala UI" w:cs="Nirmala UI"/>
          <w:sz w:val="28"/>
          <w:szCs w:val="28"/>
        </w:rPr>
        <w:t>highlight</w:t>
      </w:r>
      <w:r w:rsidR="00484CA3" w:rsidRPr="0034061B">
        <w:rPr>
          <w:rFonts w:ascii="Nirmala UI" w:hAnsi="Nirmala UI" w:cs="Nirmala UI"/>
          <w:sz w:val="28"/>
          <w:szCs w:val="28"/>
        </w:rPr>
        <w:t xml:space="preserve">ed that there could be </w:t>
      </w:r>
      <w:r w:rsidR="00484CA3" w:rsidRPr="0034061B">
        <w:rPr>
          <w:rFonts w:ascii="Nirmala UI" w:hAnsi="Nirmala UI" w:cs="Nirmala UI"/>
          <w:sz w:val="28"/>
          <w:szCs w:val="28"/>
        </w:rPr>
        <w:t>concerns about some eventual loss of information</w:t>
      </w:r>
      <w:r w:rsidR="00484CA3" w:rsidRPr="0034061B">
        <w:rPr>
          <w:rFonts w:ascii="Nirmala UI" w:hAnsi="Nirmala UI" w:cs="Nirmala UI"/>
          <w:sz w:val="28"/>
          <w:szCs w:val="28"/>
        </w:rPr>
        <w:t xml:space="preserve"> while adopting the standard</w:t>
      </w:r>
      <w:r w:rsidR="000E1E49" w:rsidRPr="0034061B">
        <w:rPr>
          <w:rFonts w:ascii="Nirmala UI" w:hAnsi="Nirmala UI" w:cs="Nirmala UI"/>
          <w:sz w:val="28"/>
          <w:szCs w:val="28"/>
        </w:rPr>
        <w:t xml:space="preserve"> due to </w:t>
      </w:r>
      <w:r w:rsidR="000E1E49" w:rsidRPr="0034061B">
        <w:rPr>
          <w:rFonts w:ascii="Nirmala UI" w:hAnsi="Nirmala UI" w:cs="Nirmala UI"/>
          <w:sz w:val="28"/>
          <w:szCs w:val="28"/>
        </w:rPr>
        <w:t>reductions of disclosure requirements</w:t>
      </w:r>
      <w:r w:rsidR="00484CA3" w:rsidRPr="0034061B">
        <w:rPr>
          <w:rFonts w:ascii="Nirmala UI" w:hAnsi="Nirmala UI" w:cs="Nirmala UI"/>
          <w:sz w:val="28"/>
          <w:szCs w:val="28"/>
        </w:rPr>
        <w:t xml:space="preserve">. </w:t>
      </w:r>
    </w:p>
    <w:p w14:paraId="4446B590" w14:textId="77777777" w:rsidR="00741300" w:rsidRDefault="00741300" w:rsidP="00741300">
      <w:pPr>
        <w:spacing w:after="0" w:line="360" w:lineRule="auto"/>
        <w:jc w:val="both"/>
        <w:rPr>
          <w:rFonts w:ascii="Nirmala UI" w:hAnsi="Nirmala UI" w:cs="Nirmala UI"/>
          <w:sz w:val="28"/>
          <w:szCs w:val="28"/>
        </w:rPr>
      </w:pPr>
    </w:p>
    <w:p w14:paraId="5BA4B4E9" w14:textId="69BABCD6" w:rsidR="00DD34C6"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2. </w:t>
      </w:r>
      <w:r w:rsidR="00DD34C6" w:rsidRPr="00741300">
        <w:rPr>
          <w:rFonts w:ascii="Nirmala UI" w:hAnsi="Nirmala UI" w:cs="Nirmala UI"/>
          <w:sz w:val="28"/>
          <w:szCs w:val="28"/>
        </w:rPr>
        <w:t xml:space="preserve">The disclosure requirements in </w:t>
      </w:r>
      <w:proofErr w:type="spellStart"/>
      <w:r w:rsidR="00DD34C6" w:rsidRPr="00741300">
        <w:rPr>
          <w:rFonts w:ascii="Nirmala UI" w:hAnsi="Nirmala UI" w:cs="Nirmala UI"/>
          <w:sz w:val="28"/>
          <w:szCs w:val="28"/>
        </w:rPr>
        <w:t>IndAS</w:t>
      </w:r>
      <w:proofErr w:type="spellEnd"/>
      <w:r w:rsidR="00DD34C6" w:rsidRPr="00741300">
        <w:rPr>
          <w:rFonts w:ascii="Nirmala UI" w:hAnsi="Nirmala UI" w:cs="Nirmala UI"/>
          <w:sz w:val="28"/>
          <w:szCs w:val="28"/>
        </w:rPr>
        <w:t xml:space="preserve"> 119 </w:t>
      </w:r>
      <w:r w:rsidR="00DD34C6" w:rsidRPr="00741300">
        <w:rPr>
          <w:rFonts w:ascii="Nirmala UI" w:hAnsi="Nirmala UI" w:cs="Nirmala UI"/>
          <w:sz w:val="28"/>
          <w:szCs w:val="28"/>
        </w:rPr>
        <w:t>were developed to address the specific needs of users of non-listed subsidiaries, such as credit analysts and other finance providers, so that the resulting information is expected to be easily understandable by them.</w:t>
      </w:r>
    </w:p>
    <w:p w14:paraId="6CF0FE21" w14:textId="77777777" w:rsidR="00741300" w:rsidRDefault="00741300" w:rsidP="00741300">
      <w:pPr>
        <w:spacing w:after="0" w:line="360" w:lineRule="auto"/>
        <w:jc w:val="both"/>
        <w:rPr>
          <w:rFonts w:ascii="Nirmala UI" w:hAnsi="Nirmala UI" w:cs="Nirmala UI"/>
          <w:sz w:val="28"/>
          <w:szCs w:val="28"/>
        </w:rPr>
      </w:pPr>
    </w:p>
    <w:p w14:paraId="76D8872D" w14:textId="0982CA35" w:rsidR="00B31C62"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3. </w:t>
      </w:r>
      <w:r w:rsidR="00B31C62" w:rsidRPr="00741300">
        <w:rPr>
          <w:rFonts w:ascii="Nirmala UI" w:hAnsi="Nirmala UI" w:cs="Nirmala UI"/>
          <w:sz w:val="28"/>
          <w:szCs w:val="28"/>
        </w:rPr>
        <w:t>It is also felt t</w:t>
      </w:r>
      <w:r w:rsidR="00B31C62" w:rsidRPr="00741300">
        <w:rPr>
          <w:rFonts w:ascii="Nirmala UI" w:hAnsi="Nirmala UI" w:cs="Nirmala UI"/>
          <w:sz w:val="28"/>
          <w:szCs w:val="28"/>
        </w:rPr>
        <w:t>he reduced disclosure requirements have no impact on prudence.</w:t>
      </w:r>
    </w:p>
    <w:p w14:paraId="119E7D6A" w14:textId="77777777" w:rsidR="00741300" w:rsidRDefault="00741300" w:rsidP="00741300">
      <w:pPr>
        <w:spacing w:after="0" w:line="360" w:lineRule="auto"/>
        <w:jc w:val="both"/>
        <w:rPr>
          <w:rFonts w:ascii="Nirmala UI" w:hAnsi="Nirmala UI" w:cs="Nirmala UI"/>
          <w:sz w:val="28"/>
          <w:szCs w:val="28"/>
        </w:rPr>
      </w:pPr>
    </w:p>
    <w:p w14:paraId="3C8992A1" w14:textId="6F67694C" w:rsidR="00554B40"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4. </w:t>
      </w:r>
      <w:r w:rsidR="00554B40" w:rsidRPr="00741300">
        <w:rPr>
          <w:rFonts w:ascii="Nirmala UI" w:hAnsi="Nirmala UI" w:cs="Nirmala UI"/>
          <w:sz w:val="28"/>
          <w:szCs w:val="28"/>
        </w:rPr>
        <w:t>A</w:t>
      </w:r>
      <w:r w:rsidR="00554B40" w:rsidRPr="00741300">
        <w:rPr>
          <w:rFonts w:ascii="Nirmala UI" w:hAnsi="Nirmala UI" w:cs="Nirmala UI"/>
          <w:sz w:val="28"/>
          <w:szCs w:val="28"/>
        </w:rPr>
        <w:t xml:space="preserve"> number of disclosures for intermediate parents and/or subsidiaries that have significant investments, in particular the disclosures required about the composition of a group, disclosures about consolidated and unconsolidated structured entities and disclosures on significant investments</w:t>
      </w:r>
      <w:r w:rsidR="00554B40" w:rsidRPr="00741300">
        <w:rPr>
          <w:rFonts w:ascii="Nirmala UI" w:hAnsi="Nirmala UI" w:cs="Nirmala UI"/>
          <w:sz w:val="28"/>
          <w:szCs w:val="28"/>
        </w:rPr>
        <w:t xml:space="preserve"> </w:t>
      </w:r>
      <w:r w:rsidR="00554B40" w:rsidRPr="00741300">
        <w:rPr>
          <w:rFonts w:ascii="Nirmala UI" w:hAnsi="Nirmala UI" w:cs="Nirmala UI"/>
          <w:sz w:val="28"/>
          <w:szCs w:val="28"/>
        </w:rPr>
        <w:t xml:space="preserve">required. However, such disclosures would not have a significant impact on individual subsidiaries and would not affect most of the population in the scope of </w:t>
      </w:r>
      <w:proofErr w:type="spellStart"/>
      <w:r w:rsidR="00554B40" w:rsidRPr="00741300">
        <w:rPr>
          <w:rFonts w:ascii="Nirmala UI" w:hAnsi="Nirmala UI" w:cs="Nirmala UI"/>
          <w:sz w:val="28"/>
          <w:szCs w:val="28"/>
        </w:rPr>
        <w:t>I</w:t>
      </w:r>
      <w:r w:rsidR="00554B40" w:rsidRPr="00741300">
        <w:rPr>
          <w:rFonts w:ascii="Nirmala UI" w:hAnsi="Nirmala UI" w:cs="Nirmala UI"/>
          <w:sz w:val="28"/>
          <w:szCs w:val="28"/>
        </w:rPr>
        <w:t>ndA</w:t>
      </w:r>
      <w:r w:rsidR="00554B40" w:rsidRPr="00741300">
        <w:rPr>
          <w:rFonts w:ascii="Nirmala UI" w:hAnsi="Nirmala UI" w:cs="Nirmala UI"/>
          <w:sz w:val="28"/>
          <w:szCs w:val="28"/>
        </w:rPr>
        <w:t>S</w:t>
      </w:r>
      <w:proofErr w:type="spellEnd"/>
      <w:r w:rsidR="00554B40" w:rsidRPr="00741300">
        <w:rPr>
          <w:rFonts w:ascii="Nirmala UI" w:hAnsi="Nirmala UI" w:cs="Nirmala UI"/>
          <w:sz w:val="28"/>
          <w:szCs w:val="28"/>
        </w:rPr>
        <w:t xml:space="preserve"> </w:t>
      </w:r>
      <w:r w:rsidR="008D591C" w:rsidRPr="00741300">
        <w:rPr>
          <w:rFonts w:ascii="Nirmala UI" w:hAnsi="Nirmala UI" w:cs="Nirmala UI"/>
          <w:sz w:val="28"/>
          <w:szCs w:val="28"/>
        </w:rPr>
        <w:t>1</w:t>
      </w:r>
      <w:r w:rsidR="00554B40" w:rsidRPr="00741300">
        <w:rPr>
          <w:rFonts w:ascii="Nirmala UI" w:hAnsi="Nirmala UI" w:cs="Nirmala UI"/>
          <w:sz w:val="28"/>
          <w:szCs w:val="28"/>
        </w:rPr>
        <w:t>19</w:t>
      </w:r>
      <w:r w:rsidR="00554B40" w:rsidRPr="00741300">
        <w:rPr>
          <w:rFonts w:ascii="Nirmala UI" w:hAnsi="Nirmala UI" w:cs="Nirmala UI"/>
          <w:sz w:val="28"/>
          <w:szCs w:val="28"/>
        </w:rPr>
        <w:t>.</w:t>
      </w:r>
    </w:p>
    <w:p w14:paraId="4BE4ECCE" w14:textId="77777777" w:rsidR="00741300" w:rsidRDefault="00741300" w:rsidP="00741300">
      <w:pPr>
        <w:spacing w:after="0" w:line="360" w:lineRule="auto"/>
        <w:jc w:val="both"/>
        <w:rPr>
          <w:rFonts w:ascii="Nirmala UI" w:hAnsi="Nirmala UI" w:cs="Nirmala UI"/>
          <w:sz w:val="28"/>
          <w:szCs w:val="28"/>
        </w:rPr>
      </w:pPr>
    </w:p>
    <w:p w14:paraId="4787B826" w14:textId="08BD6618" w:rsidR="008D591C"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5. </w:t>
      </w:r>
      <w:r w:rsidR="008D591C" w:rsidRPr="00741300">
        <w:rPr>
          <w:rFonts w:ascii="Nirmala UI" w:hAnsi="Nirmala UI" w:cs="Nirmala UI"/>
          <w:sz w:val="28"/>
          <w:szCs w:val="28"/>
        </w:rPr>
        <w:t>D</w:t>
      </w:r>
      <w:r w:rsidR="008D591C" w:rsidRPr="00741300">
        <w:rPr>
          <w:rFonts w:ascii="Nirmala UI" w:hAnsi="Nirmala UI" w:cs="Nirmala UI"/>
          <w:sz w:val="28"/>
          <w:szCs w:val="28"/>
        </w:rPr>
        <w:t xml:space="preserve">isclosures on discontinued operations are usually very relevant for users of financial statements. Additionally, when an entity has significant investments, disclosures on the aggregate </w:t>
      </w:r>
      <w:proofErr w:type="gramStart"/>
      <w:r w:rsidR="008D591C" w:rsidRPr="00741300">
        <w:rPr>
          <w:rFonts w:ascii="Nirmala UI" w:hAnsi="Nirmala UI" w:cs="Nirmala UI"/>
          <w:sz w:val="28"/>
          <w:szCs w:val="28"/>
        </w:rPr>
        <w:t>amount</w:t>
      </w:r>
      <w:proofErr w:type="gramEnd"/>
      <w:r w:rsidR="008D591C" w:rsidRPr="00741300">
        <w:rPr>
          <w:rFonts w:ascii="Nirmala UI" w:hAnsi="Nirmala UI" w:cs="Nirmala UI"/>
          <w:sz w:val="28"/>
          <w:szCs w:val="28"/>
        </w:rPr>
        <w:t xml:space="preserve"> of temporary differences associated with investments in subsidiaries, branches, and associates and interests in joint arrangements are highly valued </w:t>
      </w:r>
      <w:r w:rsidR="00F556D6" w:rsidRPr="00741300">
        <w:rPr>
          <w:rFonts w:ascii="Nirmala UI" w:hAnsi="Nirmala UI" w:cs="Nirmala UI"/>
          <w:sz w:val="28"/>
          <w:szCs w:val="28"/>
        </w:rPr>
        <w:t>in financial</w:t>
      </w:r>
      <w:r w:rsidR="008D591C" w:rsidRPr="00741300">
        <w:rPr>
          <w:rFonts w:ascii="Nirmala UI" w:hAnsi="Nirmala UI" w:cs="Nirmala UI"/>
          <w:sz w:val="28"/>
          <w:szCs w:val="28"/>
        </w:rPr>
        <w:t xml:space="preserve"> statements</w:t>
      </w:r>
      <w:r w:rsidR="008D591C" w:rsidRPr="00741300">
        <w:rPr>
          <w:rFonts w:ascii="Nirmala UI" w:hAnsi="Nirmala UI" w:cs="Nirmala UI"/>
          <w:sz w:val="28"/>
          <w:szCs w:val="28"/>
        </w:rPr>
        <w:t xml:space="preserve">. </w:t>
      </w:r>
    </w:p>
    <w:p w14:paraId="45444E40" w14:textId="2442B93F" w:rsidR="008D591C"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6. </w:t>
      </w:r>
      <w:r w:rsidR="008D591C" w:rsidRPr="00741300">
        <w:rPr>
          <w:rFonts w:ascii="Nirmala UI" w:hAnsi="Nirmala UI" w:cs="Nirmala UI"/>
          <w:sz w:val="28"/>
          <w:szCs w:val="28"/>
        </w:rPr>
        <w:t>D</w:t>
      </w:r>
      <w:r w:rsidR="008D591C" w:rsidRPr="00741300">
        <w:rPr>
          <w:rFonts w:ascii="Nirmala UI" w:hAnsi="Nirmala UI" w:cs="Nirmala UI"/>
          <w:sz w:val="28"/>
          <w:szCs w:val="28"/>
        </w:rPr>
        <w:t>isclosures on evidence of deferred tax asset (‘DTA’</w:t>
      </w:r>
      <w:r w:rsidR="008D591C" w:rsidRPr="00741300">
        <w:rPr>
          <w:rFonts w:ascii="Nirmala UI" w:hAnsi="Nirmala UI" w:cs="Nirmala UI"/>
          <w:sz w:val="28"/>
          <w:szCs w:val="28"/>
        </w:rPr>
        <w:t>)</w:t>
      </w:r>
      <w:r w:rsidR="00531E7C" w:rsidRPr="00741300">
        <w:rPr>
          <w:rFonts w:ascii="Nirmala UI" w:hAnsi="Nirmala UI" w:cs="Nirmala UI"/>
          <w:sz w:val="28"/>
          <w:szCs w:val="28"/>
        </w:rPr>
        <w:t xml:space="preserve"> </w:t>
      </w:r>
      <w:r w:rsidR="008D591C" w:rsidRPr="00741300">
        <w:rPr>
          <w:rFonts w:ascii="Nirmala UI" w:hAnsi="Nirmala UI" w:cs="Nirmala UI"/>
          <w:sz w:val="28"/>
          <w:szCs w:val="28"/>
        </w:rPr>
        <w:t>to provide evidence that supports the recognition of DTAs, as this is a very subjective area</w:t>
      </w:r>
      <w:r w:rsidR="00531E7C" w:rsidRPr="00741300">
        <w:rPr>
          <w:rFonts w:ascii="Nirmala UI" w:hAnsi="Nirmala UI" w:cs="Nirmala UI"/>
          <w:sz w:val="28"/>
          <w:szCs w:val="28"/>
        </w:rPr>
        <w:t>.</w:t>
      </w:r>
    </w:p>
    <w:p w14:paraId="27C17AF3" w14:textId="77777777" w:rsidR="00741300" w:rsidRDefault="00741300" w:rsidP="00741300">
      <w:pPr>
        <w:spacing w:after="0" w:line="360" w:lineRule="auto"/>
        <w:jc w:val="both"/>
        <w:rPr>
          <w:rFonts w:ascii="Nirmala UI" w:hAnsi="Nirmala UI" w:cs="Nirmala UI"/>
          <w:sz w:val="28"/>
          <w:szCs w:val="28"/>
        </w:rPr>
      </w:pPr>
    </w:p>
    <w:p w14:paraId="33712594" w14:textId="7FF159DF" w:rsidR="00417303"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7. </w:t>
      </w:r>
      <w:r w:rsidR="00E46768" w:rsidRPr="00741300">
        <w:rPr>
          <w:rFonts w:ascii="Nirmala UI" w:hAnsi="Nirmala UI" w:cs="Nirmala UI"/>
          <w:sz w:val="28"/>
          <w:szCs w:val="28"/>
        </w:rPr>
        <w:t>T</w:t>
      </w:r>
      <w:r w:rsidR="00E46768" w:rsidRPr="00741300">
        <w:rPr>
          <w:rFonts w:ascii="Nirmala UI" w:hAnsi="Nirmala UI" w:cs="Nirmala UI"/>
          <w:sz w:val="28"/>
          <w:szCs w:val="28"/>
        </w:rPr>
        <w:t xml:space="preserve">he information could enhance the required disclosures, in most cases it is either industry specific, relates to transactions which do not occur often or concerns the types of subsidiaries (intermediate parents) that represent only a small portion of the entities in the scope of </w:t>
      </w:r>
      <w:proofErr w:type="spellStart"/>
      <w:r w:rsidR="00E46768" w:rsidRPr="00741300">
        <w:rPr>
          <w:rFonts w:ascii="Nirmala UI" w:hAnsi="Nirmala UI" w:cs="Nirmala UI"/>
          <w:sz w:val="28"/>
          <w:szCs w:val="28"/>
        </w:rPr>
        <w:t>I</w:t>
      </w:r>
      <w:r w:rsidR="00E46768" w:rsidRPr="00741300">
        <w:rPr>
          <w:rFonts w:ascii="Nirmala UI" w:hAnsi="Nirmala UI" w:cs="Nirmala UI"/>
          <w:sz w:val="28"/>
          <w:szCs w:val="28"/>
        </w:rPr>
        <w:t>ndAS</w:t>
      </w:r>
      <w:proofErr w:type="spellEnd"/>
      <w:r w:rsidR="00E46768" w:rsidRPr="00741300">
        <w:rPr>
          <w:rFonts w:ascii="Nirmala UI" w:hAnsi="Nirmala UI" w:cs="Nirmala UI"/>
          <w:sz w:val="28"/>
          <w:szCs w:val="28"/>
        </w:rPr>
        <w:t xml:space="preserve"> </w:t>
      </w:r>
      <w:r w:rsidR="00E46768" w:rsidRPr="00741300">
        <w:rPr>
          <w:rFonts w:ascii="Nirmala UI" w:hAnsi="Nirmala UI" w:cs="Nirmala UI"/>
          <w:sz w:val="28"/>
          <w:szCs w:val="28"/>
        </w:rPr>
        <w:t>1</w:t>
      </w:r>
      <w:r w:rsidR="00E46768" w:rsidRPr="00741300">
        <w:rPr>
          <w:rFonts w:ascii="Nirmala UI" w:hAnsi="Nirmala UI" w:cs="Nirmala UI"/>
          <w:sz w:val="28"/>
          <w:szCs w:val="28"/>
        </w:rPr>
        <w:t>19.</w:t>
      </w:r>
    </w:p>
    <w:p w14:paraId="5AF68906" w14:textId="77777777" w:rsidR="00741300" w:rsidRDefault="00741300" w:rsidP="00741300">
      <w:pPr>
        <w:spacing w:after="0" w:line="360" w:lineRule="auto"/>
        <w:jc w:val="both"/>
        <w:rPr>
          <w:rFonts w:ascii="Nirmala UI" w:hAnsi="Nirmala UI" w:cs="Nirmala UI"/>
          <w:sz w:val="28"/>
          <w:szCs w:val="28"/>
        </w:rPr>
      </w:pPr>
    </w:p>
    <w:p w14:paraId="17B14111" w14:textId="65AEB29D" w:rsidR="00E46768"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8. </w:t>
      </w:r>
      <w:r w:rsidR="00417303" w:rsidRPr="00741300">
        <w:rPr>
          <w:rFonts w:ascii="Nirmala UI" w:hAnsi="Nirmala UI" w:cs="Nirmala UI"/>
          <w:sz w:val="28"/>
          <w:szCs w:val="28"/>
        </w:rPr>
        <w:t xml:space="preserve">It is opined that </w:t>
      </w:r>
      <w:r w:rsidR="00417303" w:rsidRPr="00741300">
        <w:rPr>
          <w:rFonts w:ascii="Nirmala UI" w:hAnsi="Nirmala UI" w:cs="Nirmala UI"/>
          <w:sz w:val="28"/>
          <w:szCs w:val="28"/>
        </w:rPr>
        <w:t xml:space="preserve">the relevance of </w:t>
      </w:r>
      <w:proofErr w:type="spellStart"/>
      <w:r w:rsidR="00417303" w:rsidRPr="00741300">
        <w:rPr>
          <w:rFonts w:ascii="Nirmala UI" w:hAnsi="Nirmala UI" w:cs="Nirmala UI"/>
          <w:sz w:val="28"/>
          <w:szCs w:val="28"/>
        </w:rPr>
        <w:t>I</w:t>
      </w:r>
      <w:r w:rsidR="00417303" w:rsidRPr="00741300">
        <w:rPr>
          <w:rFonts w:ascii="Nirmala UI" w:hAnsi="Nirmala UI" w:cs="Nirmala UI"/>
          <w:sz w:val="28"/>
          <w:szCs w:val="28"/>
        </w:rPr>
        <w:t>ndAS</w:t>
      </w:r>
      <w:proofErr w:type="spellEnd"/>
      <w:r w:rsidR="00417303" w:rsidRPr="00741300">
        <w:rPr>
          <w:rFonts w:ascii="Nirmala UI" w:hAnsi="Nirmala UI" w:cs="Nirmala UI"/>
          <w:sz w:val="28"/>
          <w:szCs w:val="28"/>
        </w:rPr>
        <w:t xml:space="preserve"> </w:t>
      </w:r>
      <w:r w:rsidR="00417303" w:rsidRPr="00741300">
        <w:rPr>
          <w:rFonts w:ascii="Nirmala UI" w:hAnsi="Nirmala UI" w:cs="Nirmala UI"/>
          <w:sz w:val="28"/>
          <w:szCs w:val="28"/>
        </w:rPr>
        <w:t>1</w:t>
      </w:r>
      <w:r w:rsidR="00417303" w:rsidRPr="00741300">
        <w:rPr>
          <w:rFonts w:ascii="Nirmala UI" w:hAnsi="Nirmala UI" w:cs="Nirmala UI"/>
          <w:sz w:val="28"/>
          <w:szCs w:val="28"/>
        </w:rPr>
        <w:t xml:space="preserve">19 itself depends on the level of reductions in the disclosures. Specifically, entities that currently do not report under Accounting Standards would only transition to them if there are significant simplifications/reductions compared to the full Accounting Standards. </w:t>
      </w:r>
    </w:p>
    <w:p w14:paraId="2261FE8A" w14:textId="77777777" w:rsidR="00741300" w:rsidRDefault="00741300" w:rsidP="00741300">
      <w:pPr>
        <w:spacing w:after="0" w:line="360" w:lineRule="auto"/>
        <w:jc w:val="both"/>
        <w:rPr>
          <w:rFonts w:ascii="Nirmala UI" w:hAnsi="Nirmala UI" w:cs="Nirmala UI"/>
          <w:sz w:val="28"/>
          <w:szCs w:val="28"/>
        </w:rPr>
      </w:pPr>
    </w:p>
    <w:p w14:paraId="1027371C" w14:textId="20AA5AEA" w:rsidR="00435D47" w:rsidRPr="00435D47"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9. </w:t>
      </w:r>
      <w:r w:rsidR="00435D47" w:rsidRPr="00435D47">
        <w:rPr>
          <w:rFonts w:ascii="Nirmala UI" w:hAnsi="Nirmala UI" w:cs="Nirmala UI"/>
          <w:sz w:val="28"/>
          <w:szCs w:val="28"/>
        </w:rPr>
        <w:t xml:space="preserve">It is felt </w:t>
      </w:r>
      <w:r w:rsidR="008A6EB9" w:rsidRPr="00741300">
        <w:rPr>
          <w:rFonts w:ascii="Nirmala UI" w:hAnsi="Nirmala UI" w:cs="Nirmala UI"/>
          <w:sz w:val="28"/>
          <w:szCs w:val="28"/>
        </w:rPr>
        <w:t>that a</w:t>
      </w:r>
      <w:r w:rsidR="00435D47" w:rsidRPr="00741300">
        <w:rPr>
          <w:rFonts w:ascii="Nirmala UI" w:hAnsi="Nirmala UI" w:cs="Nirmala UI"/>
          <w:sz w:val="28"/>
          <w:szCs w:val="28"/>
        </w:rPr>
        <w:t xml:space="preserve"> little more </w:t>
      </w:r>
      <w:r w:rsidR="00435D47" w:rsidRPr="00435D47">
        <w:rPr>
          <w:rFonts w:ascii="Nirmala UI" w:hAnsi="Nirmala UI" w:cs="Nirmala UI"/>
          <w:sz w:val="28"/>
          <w:szCs w:val="28"/>
        </w:rPr>
        <w:t>clarity</w:t>
      </w:r>
      <w:r w:rsidR="00435D47" w:rsidRPr="00741300">
        <w:rPr>
          <w:rFonts w:ascii="Nirmala UI" w:hAnsi="Nirmala UI" w:cs="Nirmala UI"/>
          <w:sz w:val="28"/>
          <w:szCs w:val="28"/>
        </w:rPr>
        <w:t xml:space="preserve"> is needed </w:t>
      </w:r>
      <w:r w:rsidR="00435D47" w:rsidRPr="00435D47">
        <w:rPr>
          <w:rFonts w:ascii="Nirmala UI" w:hAnsi="Nirmala UI" w:cs="Nirmala UI"/>
          <w:sz w:val="28"/>
          <w:szCs w:val="28"/>
        </w:rPr>
        <w:t>around who the ED believes the specific identified users of subsidiary financial statements to be and what their information needs are.</w:t>
      </w:r>
      <w:r w:rsidR="008A6EB9" w:rsidRPr="00741300">
        <w:rPr>
          <w:rFonts w:ascii="Nirmala UI" w:hAnsi="Nirmala UI" w:cs="Nirmala UI"/>
          <w:sz w:val="28"/>
          <w:szCs w:val="28"/>
        </w:rPr>
        <w:t xml:space="preserve"> W</w:t>
      </w:r>
      <w:r w:rsidR="008A6EB9" w:rsidRPr="00741300">
        <w:rPr>
          <w:rFonts w:ascii="Nirmala UI" w:hAnsi="Nirmala UI" w:cs="Nirmala UI"/>
          <w:sz w:val="28"/>
          <w:szCs w:val="28"/>
        </w:rPr>
        <w:t xml:space="preserve">e have concerns about the proportionality of the requirements of </w:t>
      </w:r>
      <w:proofErr w:type="spellStart"/>
      <w:r w:rsidR="008A6EB9" w:rsidRPr="00741300">
        <w:rPr>
          <w:rFonts w:ascii="Nirmala UI" w:hAnsi="Nirmala UI" w:cs="Nirmala UI"/>
          <w:sz w:val="28"/>
          <w:szCs w:val="28"/>
        </w:rPr>
        <w:t>IndAS</w:t>
      </w:r>
      <w:proofErr w:type="spellEnd"/>
      <w:r w:rsidR="008A6EB9" w:rsidRPr="00741300">
        <w:rPr>
          <w:rFonts w:ascii="Nirmala UI" w:hAnsi="Nirmala UI" w:cs="Nirmala UI"/>
          <w:sz w:val="28"/>
          <w:szCs w:val="28"/>
        </w:rPr>
        <w:t xml:space="preserve"> 1</w:t>
      </w:r>
      <w:r w:rsidR="008A6EB9" w:rsidRPr="00741300">
        <w:rPr>
          <w:rFonts w:ascii="Nirmala UI" w:hAnsi="Nirmala UI" w:cs="Nirmala UI"/>
          <w:sz w:val="28"/>
          <w:szCs w:val="28"/>
        </w:rPr>
        <w:t>19</w:t>
      </w:r>
      <w:r w:rsidR="008A6EB9" w:rsidRPr="00741300">
        <w:rPr>
          <w:rFonts w:ascii="Nirmala UI" w:hAnsi="Nirmala UI" w:cs="Nirmala UI"/>
          <w:sz w:val="28"/>
          <w:szCs w:val="28"/>
        </w:rPr>
        <w:t>.</w:t>
      </w:r>
      <w:r w:rsidR="008A6EB9" w:rsidRPr="00741300">
        <w:rPr>
          <w:rFonts w:ascii="Nirmala UI" w:hAnsi="Nirmala UI" w:cs="Nirmala UI"/>
          <w:sz w:val="28"/>
          <w:szCs w:val="28"/>
        </w:rPr>
        <w:t xml:space="preserve"> In particular, we </w:t>
      </w:r>
      <w:r w:rsidR="008A6EB9" w:rsidRPr="00741300">
        <w:rPr>
          <w:rFonts w:ascii="Nirmala UI" w:hAnsi="Nirmala UI" w:cs="Nirmala UI"/>
          <w:sz w:val="28"/>
          <w:szCs w:val="28"/>
        </w:rPr>
        <w:t>think</w:t>
      </w:r>
      <w:r w:rsidR="008A6EB9" w:rsidRPr="00741300">
        <w:rPr>
          <w:rFonts w:ascii="Nirmala UI" w:hAnsi="Nirmala UI" w:cs="Nirmala UI"/>
          <w:sz w:val="28"/>
          <w:szCs w:val="28"/>
        </w:rPr>
        <w:t xml:space="preserve"> there are opportunities to further reduce disclosure requirements through the use of equivalence exemptions</w:t>
      </w:r>
      <w:r w:rsidR="008A6EB9" w:rsidRPr="00741300">
        <w:rPr>
          <w:rFonts w:ascii="Nirmala UI" w:hAnsi="Nirmala UI" w:cs="Nirmala UI"/>
          <w:sz w:val="28"/>
          <w:szCs w:val="28"/>
        </w:rPr>
        <w:t>,</w:t>
      </w:r>
      <w:r w:rsidR="008A6EB9" w:rsidRPr="00741300">
        <w:rPr>
          <w:rFonts w:ascii="Nirmala UI" w:hAnsi="Nirmala UI" w:cs="Nirmala UI"/>
          <w:sz w:val="28"/>
          <w:szCs w:val="28"/>
        </w:rPr>
        <w:t xml:space="preserve"> whereby certain disclosures are not required where there is sufficient information included within the parent’s publicly </w:t>
      </w:r>
      <w:r w:rsidR="004951ED" w:rsidRPr="00741300">
        <w:rPr>
          <w:rFonts w:ascii="Nirmala UI" w:hAnsi="Nirmala UI" w:cs="Nirmala UI"/>
          <w:sz w:val="28"/>
          <w:szCs w:val="28"/>
        </w:rPr>
        <w:t>available in</w:t>
      </w:r>
      <w:r w:rsidR="008A6EB9" w:rsidRPr="00741300">
        <w:rPr>
          <w:rFonts w:ascii="Nirmala UI" w:hAnsi="Nirmala UI" w:cs="Nirmala UI"/>
          <w:sz w:val="28"/>
          <w:szCs w:val="28"/>
        </w:rPr>
        <w:t xml:space="preserve"> </w:t>
      </w:r>
      <w:r w:rsidR="008A6EB9" w:rsidRPr="00741300">
        <w:rPr>
          <w:rFonts w:ascii="Nirmala UI" w:hAnsi="Nirmala UI" w:cs="Nirmala UI"/>
          <w:sz w:val="28"/>
          <w:szCs w:val="28"/>
        </w:rPr>
        <w:t xml:space="preserve">consolidated financial statements. </w:t>
      </w:r>
    </w:p>
    <w:p w14:paraId="44D8D511" w14:textId="77777777" w:rsidR="00741300" w:rsidRDefault="00741300" w:rsidP="00741300">
      <w:pPr>
        <w:spacing w:after="0" w:line="360" w:lineRule="auto"/>
        <w:jc w:val="both"/>
        <w:rPr>
          <w:rFonts w:ascii="Nirmala UI" w:hAnsi="Nirmala UI" w:cs="Nirmala UI"/>
          <w:sz w:val="28"/>
          <w:szCs w:val="28"/>
        </w:rPr>
      </w:pPr>
    </w:p>
    <w:p w14:paraId="40396908" w14:textId="17650787" w:rsidR="00417303"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10. </w:t>
      </w:r>
      <w:r w:rsidR="00417303" w:rsidRPr="00741300">
        <w:rPr>
          <w:rFonts w:ascii="Nirmala UI" w:hAnsi="Nirmala UI" w:cs="Nirmala UI"/>
          <w:sz w:val="28"/>
          <w:szCs w:val="28"/>
        </w:rPr>
        <w:t>Information has the quality of reliability when it is free from material error and bias and can be depended upon by users to represent faithfully what it either purports to represent, or could reasonably be expected to represent, and is complete within the bounds of materiality and cost.</w:t>
      </w:r>
      <w:r w:rsidR="00417303" w:rsidRPr="00741300">
        <w:rPr>
          <w:rFonts w:ascii="Nirmala UI" w:hAnsi="Nirmala UI" w:cs="Nirmala UI"/>
          <w:sz w:val="28"/>
          <w:szCs w:val="28"/>
        </w:rPr>
        <w:t xml:space="preserve"> </w:t>
      </w:r>
      <w:r w:rsidR="00417303" w:rsidRPr="00741300">
        <w:rPr>
          <w:rFonts w:ascii="Nirmala UI" w:hAnsi="Nirmala UI" w:cs="Nirmala UI"/>
          <w:sz w:val="28"/>
          <w:szCs w:val="28"/>
        </w:rPr>
        <w:t xml:space="preserve">There </w:t>
      </w:r>
      <w:r w:rsidR="00417303" w:rsidRPr="00741300">
        <w:rPr>
          <w:rFonts w:ascii="Nirmala UI" w:hAnsi="Nirmala UI" w:cs="Nirmala UI"/>
          <w:sz w:val="28"/>
          <w:szCs w:val="28"/>
        </w:rPr>
        <w:lastRenderedPageBreak/>
        <w:t>are a number of aspects to the notion of reliability: freedom from material error and bias, faithful representation and completeness.</w:t>
      </w:r>
      <w:r w:rsidR="00417303" w:rsidRPr="00741300">
        <w:rPr>
          <w:rFonts w:ascii="Nirmala UI" w:hAnsi="Nirmala UI" w:cs="Nirmala UI"/>
          <w:sz w:val="28"/>
          <w:szCs w:val="28"/>
        </w:rPr>
        <w:t xml:space="preserve"> </w:t>
      </w:r>
      <w:proofErr w:type="spellStart"/>
      <w:r w:rsidR="00417303" w:rsidRPr="00741300">
        <w:rPr>
          <w:rFonts w:ascii="Nirmala UI" w:hAnsi="Nirmala UI" w:cs="Nirmala UI"/>
          <w:sz w:val="28"/>
          <w:szCs w:val="28"/>
        </w:rPr>
        <w:t>I</w:t>
      </w:r>
      <w:r w:rsidR="00417303" w:rsidRPr="00741300">
        <w:rPr>
          <w:rFonts w:ascii="Nirmala UI" w:hAnsi="Nirmala UI" w:cs="Nirmala UI"/>
          <w:sz w:val="28"/>
          <w:szCs w:val="28"/>
        </w:rPr>
        <w:t>ndAS</w:t>
      </w:r>
      <w:proofErr w:type="spellEnd"/>
      <w:r w:rsidR="00417303" w:rsidRPr="00741300">
        <w:rPr>
          <w:rFonts w:ascii="Nirmala UI" w:hAnsi="Nirmala UI" w:cs="Nirmala UI"/>
          <w:sz w:val="28"/>
          <w:szCs w:val="28"/>
        </w:rPr>
        <w:t xml:space="preserve"> </w:t>
      </w:r>
      <w:r w:rsidR="00417303" w:rsidRPr="00741300">
        <w:rPr>
          <w:rFonts w:ascii="Nirmala UI" w:hAnsi="Nirmala UI" w:cs="Nirmala UI"/>
          <w:sz w:val="28"/>
          <w:szCs w:val="28"/>
        </w:rPr>
        <w:t>1</w:t>
      </w:r>
      <w:r w:rsidR="00417303" w:rsidRPr="00741300">
        <w:rPr>
          <w:rFonts w:ascii="Nirmala UI" w:hAnsi="Nirmala UI" w:cs="Nirmala UI"/>
          <w:sz w:val="28"/>
          <w:szCs w:val="28"/>
        </w:rPr>
        <w:t>19 is a disclosure-only Standard and does not change measurement, recognition and presentation requirements, which normally have the most impact on reliability</w:t>
      </w:r>
      <w:r w:rsidR="00417303" w:rsidRPr="00741300">
        <w:rPr>
          <w:rFonts w:ascii="Nirmala UI" w:hAnsi="Nirmala UI" w:cs="Nirmala UI"/>
          <w:sz w:val="28"/>
          <w:szCs w:val="28"/>
        </w:rPr>
        <w:t xml:space="preserve">. </w:t>
      </w:r>
      <w:r w:rsidR="00617F22" w:rsidRPr="00741300">
        <w:rPr>
          <w:rFonts w:ascii="Nirmala UI" w:hAnsi="Nirmala UI" w:cs="Nirmala UI"/>
          <w:sz w:val="28"/>
          <w:szCs w:val="28"/>
        </w:rPr>
        <w:t>IndAS</w:t>
      </w:r>
      <w:r w:rsidR="00617F22" w:rsidRPr="00741300">
        <w:rPr>
          <w:rFonts w:ascii="Nirmala UI" w:hAnsi="Nirmala UI" w:cs="Nirmala UI"/>
          <w:sz w:val="28"/>
          <w:szCs w:val="28"/>
        </w:rPr>
        <w:t>1</w:t>
      </w:r>
      <w:r w:rsidR="00617F22" w:rsidRPr="00741300">
        <w:rPr>
          <w:rFonts w:ascii="Nirmala UI" w:hAnsi="Nirmala UI" w:cs="Nirmala UI"/>
          <w:sz w:val="28"/>
          <w:szCs w:val="28"/>
        </w:rPr>
        <w:t>1</w:t>
      </w:r>
      <w:r w:rsidR="00617F22" w:rsidRPr="00741300">
        <w:rPr>
          <w:rFonts w:ascii="Nirmala UI" w:hAnsi="Nirmala UI" w:cs="Nirmala UI"/>
          <w:sz w:val="28"/>
          <w:szCs w:val="28"/>
        </w:rPr>
        <w:t xml:space="preserve">9 does not impact the measurement, recognition and presentation requirements </w:t>
      </w:r>
      <w:r w:rsidR="00617F22" w:rsidRPr="00741300">
        <w:rPr>
          <w:rFonts w:ascii="Nirmala UI" w:hAnsi="Nirmala UI" w:cs="Nirmala UI"/>
          <w:sz w:val="28"/>
          <w:szCs w:val="28"/>
        </w:rPr>
        <w:t xml:space="preserve">in </w:t>
      </w:r>
      <w:r w:rsidR="00617F22" w:rsidRPr="00741300">
        <w:rPr>
          <w:rFonts w:ascii="Nirmala UI" w:hAnsi="Nirmala UI" w:cs="Nirmala UI"/>
          <w:sz w:val="28"/>
          <w:szCs w:val="28"/>
        </w:rPr>
        <w:t xml:space="preserve">Accounting Standards, and therefore, it does not change how the transactions are accounted for. It only introduces reduced disclosure requirements for eligible subsidiaries. </w:t>
      </w:r>
      <w:r w:rsidR="00417303" w:rsidRPr="00741300">
        <w:rPr>
          <w:rFonts w:ascii="Nirmala UI" w:hAnsi="Nirmala UI" w:cs="Nirmala UI"/>
          <w:sz w:val="28"/>
          <w:szCs w:val="28"/>
        </w:rPr>
        <w:t xml:space="preserve">The transition to </w:t>
      </w:r>
      <w:proofErr w:type="spellStart"/>
      <w:r w:rsidR="00417303" w:rsidRPr="00741300">
        <w:rPr>
          <w:rFonts w:ascii="Nirmala UI" w:hAnsi="Nirmala UI" w:cs="Nirmala UI"/>
          <w:sz w:val="28"/>
          <w:szCs w:val="28"/>
        </w:rPr>
        <w:t>I</w:t>
      </w:r>
      <w:r w:rsidR="00417303" w:rsidRPr="00741300">
        <w:rPr>
          <w:rFonts w:ascii="Nirmala UI" w:hAnsi="Nirmala UI" w:cs="Nirmala UI"/>
          <w:sz w:val="28"/>
          <w:szCs w:val="28"/>
        </w:rPr>
        <w:t>ndAS</w:t>
      </w:r>
      <w:proofErr w:type="spellEnd"/>
      <w:r w:rsidR="00417303" w:rsidRPr="00741300">
        <w:rPr>
          <w:rFonts w:ascii="Nirmala UI" w:hAnsi="Nirmala UI" w:cs="Nirmala UI"/>
          <w:sz w:val="28"/>
          <w:szCs w:val="28"/>
        </w:rPr>
        <w:t xml:space="preserve"> </w:t>
      </w:r>
      <w:r w:rsidR="00417303" w:rsidRPr="00741300">
        <w:rPr>
          <w:rFonts w:ascii="Nirmala UI" w:hAnsi="Nirmala UI" w:cs="Nirmala UI"/>
          <w:sz w:val="28"/>
          <w:szCs w:val="28"/>
        </w:rPr>
        <w:t>1</w:t>
      </w:r>
      <w:r w:rsidR="00417303" w:rsidRPr="00741300">
        <w:rPr>
          <w:rFonts w:ascii="Nirmala UI" w:hAnsi="Nirmala UI" w:cs="Nirmala UI"/>
          <w:sz w:val="28"/>
          <w:szCs w:val="28"/>
        </w:rPr>
        <w:t>19 might indirectly affect reliability because a uniform financial reporting framework promoting consistency in accounting practices will be applied across subsidiaries and the parent entity, resulting in the provision of more reliable information.</w:t>
      </w:r>
    </w:p>
    <w:p w14:paraId="47F06EA0" w14:textId="77777777" w:rsidR="00741300" w:rsidRDefault="00741300" w:rsidP="00741300">
      <w:pPr>
        <w:spacing w:after="0" w:line="360" w:lineRule="auto"/>
        <w:jc w:val="both"/>
        <w:rPr>
          <w:rFonts w:ascii="Nirmala UI" w:hAnsi="Nirmala UI" w:cs="Nirmala UI"/>
          <w:sz w:val="28"/>
          <w:szCs w:val="28"/>
        </w:rPr>
      </w:pPr>
    </w:p>
    <w:p w14:paraId="16F2D4B7" w14:textId="676D48E0" w:rsidR="00617F22"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11. </w:t>
      </w:r>
      <w:r w:rsidR="00617F22" w:rsidRPr="00741300">
        <w:rPr>
          <w:rFonts w:ascii="Nirmala UI" w:hAnsi="Nirmala UI" w:cs="Nirmala UI"/>
          <w:sz w:val="28"/>
          <w:szCs w:val="28"/>
        </w:rPr>
        <w:t xml:space="preserve">It is mentioned </w:t>
      </w:r>
      <w:r w:rsidR="00617F22" w:rsidRPr="00741300">
        <w:rPr>
          <w:rFonts w:ascii="Nirmala UI" w:hAnsi="Nirmala UI" w:cs="Nirmala UI"/>
          <w:sz w:val="28"/>
          <w:szCs w:val="28"/>
        </w:rPr>
        <w:t xml:space="preserve">that in those </w:t>
      </w:r>
      <w:r w:rsidR="00617F22" w:rsidRPr="00741300">
        <w:rPr>
          <w:rFonts w:ascii="Nirmala UI" w:hAnsi="Nirmala UI" w:cs="Nirmala UI"/>
          <w:sz w:val="28"/>
          <w:szCs w:val="28"/>
        </w:rPr>
        <w:t xml:space="preserve">cases </w:t>
      </w:r>
      <w:r w:rsidR="00617F22" w:rsidRPr="00741300">
        <w:rPr>
          <w:rFonts w:ascii="Nirmala UI" w:hAnsi="Nirmala UI" w:cs="Nirmala UI"/>
          <w:sz w:val="28"/>
          <w:szCs w:val="28"/>
        </w:rPr>
        <w:t xml:space="preserve">where the use of </w:t>
      </w:r>
      <w:proofErr w:type="spellStart"/>
      <w:r w:rsidR="00617F22" w:rsidRPr="00741300">
        <w:rPr>
          <w:rFonts w:ascii="Nirmala UI" w:hAnsi="Nirmala UI" w:cs="Nirmala UI"/>
          <w:sz w:val="28"/>
          <w:szCs w:val="28"/>
        </w:rPr>
        <w:t>IndAS</w:t>
      </w:r>
      <w:proofErr w:type="spellEnd"/>
      <w:r w:rsidR="00617F22" w:rsidRPr="00741300">
        <w:rPr>
          <w:rFonts w:ascii="Nirmala UI" w:hAnsi="Nirmala UI" w:cs="Nirmala UI"/>
          <w:sz w:val="28"/>
          <w:szCs w:val="28"/>
        </w:rPr>
        <w:t xml:space="preserve"> 119 </w:t>
      </w:r>
      <w:r w:rsidR="00617F22" w:rsidRPr="00741300">
        <w:rPr>
          <w:rFonts w:ascii="Nirmala UI" w:hAnsi="Nirmala UI" w:cs="Nirmala UI"/>
          <w:sz w:val="28"/>
          <w:szCs w:val="28"/>
        </w:rPr>
        <w:t xml:space="preserve">Accounting Standards is required for eligible subsidiaries, comparability might be reduced to a certain extent. As </w:t>
      </w:r>
      <w:r w:rsidR="00617F22" w:rsidRPr="00741300">
        <w:rPr>
          <w:rFonts w:ascii="Nirmala UI" w:hAnsi="Nirmala UI" w:cs="Nirmala UI"/>
          <w:sz w:val="28"/>
          <w:szCs w:val="28"/>
        </w:rPr>
        <w:t>IndAS</w:t>
      </w:r>
      <w:r w:rsidR="00617F22" w:rsidRPr="00741300">
        <w:rPr>
          <w:rFonts w:ascii="Nirmala UI" w:hAnsi="Nirmala UI" w:cs="Nirmala UI"/>
          <w:sz w:val="28"/>
          <w:szCs w:val="28"/>
        </w:rPr>
        <w:t>1</w:t>
      </w:r>
      <w:r w:rsidR="00617F22" w:rsidRPr="00741300">
        <w:rPr>
          <w:rFonts w:ascii="Nirmala UI" w:hAnsi="Nirmala UI" w:cs="Nirmala UI"/>
          <w:sz w:val="28"/>
          <w:szCs w:val="28"/>
        </w:rPr>
        <w:t>1</w:t>
      </w:r>
      <w:r w:rsidR="00617F22" w:rsidRPr="00741300">
        <w:rPr>
          <w:rFonts w:ascii="Nirmala UI" w:hAnsi="Nirmala UI" w:cs="Nirmala UI"/>
          <w:sz w:val="28"/>
          <w:szCs w:val="28"/>
        </w:rPr>
        <w:t xml:space="preserve">9 is a voluntary Standard, some entities might apply full </w:t>
      </w:r>
      <w:proofErr w:type="spellStart"/>
      <w:r w:rsidR="00617F22" w:rsidRPr="00741300">
        <w:rPr>
          <w:rFonts w:ascii="Nirmala UI" w:hAnsi="Nirmala UI" w:cs="Nirmala UI"/>
          <w:sz w:val="28"/>
          <w:szCs w:val="28"/>
        </w:rPr>
        <w:t>IndAS</w:t>
      </w:r>
      <w:proofErr w:type="spellEnd"/>
      <w:r w:rsidR="00617F22" w:rsidRPr="00741300">
        <w:rPr>
          <w:rFonts w:ascii="Nirmala UI" w:hAnsi="Nirmala UI" w:cs="Nirmala UI"/>
          <w:sz w:val="28"/>
          <w:szCs w:val="28"/>
        </w:rPr>
        <w:t xml:space="preserve"> </w:t>
      </w:r>
      <w:r w:rsidR="00617F22" w:rsidRPr="00741300">
        <w:rPr>
          <w:rFonts w:ascii="Nirmala UI" w:hAnsi="Nirmala UI" w:cs="Nirmala UI"/>
          <w:sz w:val="28"/>
          <w:szCs w:val="28"/>
        </w:rPr>
        <w:t xml:space="preserve">Accounting Standards while others will apply the reduced disclosure framework. </w:t>
      </w:r>
      <w:r w:rsidR="00617F22" w:rsidRPr="00741300">
        <w:rPr>
          <w:rFonts w:ascii="Nirmala UI" w:hAnsi="Nirmala UI" w:cs="Nirmala UI"/>
          <w:sz w:val="28"/>
          <w:szCs w:val="28"/>
        </w:rPr>
        <w:t>However, a</w:t>
      </w:r>
      <w:r w:rsidR="00617F22" w:rsidRPr="00741300">
        <w:rPr>
          <w:rFonts w:ascii="Nirmala UI" w:hAnsi="Nirmala UI" w:cs="Nirmala UI"/>
          <w:sz w:val="28"/>
          <w:szCs w:val="28"/>
        </w:rPr>
        <w:t xml:space="preserve">s the focus of the </w:t>
      </w:r>
      <w:proofErr w:type="spellStart"/>
      <w:r w:rsidR="00617F22" w:rsidRPr="00741300">
        <w:rPr>
          <w:rFonts w:ascii="Nirmala UI" w:hAnsi="Nirmala UI" w:cs="Nirmala UI"/>
          <w:sz w:val="28"/>
          <w:szCs w:val="28"/>
        </w:rPr>
        <w:t>IndAS</w:t>
      </w:r>
      <w:proofErr w:type="spellEnd"/>
      <w:r w:rsidR="00617F22" w:rsidRPr="00741300">
        <w:rPr>
          <w:rFonts w:ascii="Nirmala UI" w:hAnsi="Nirmala UI" w:cs="Nirmala UI"/>
          <w:sz w:val="28"/>
          <w:szCs w:val="28"/>
        </w:rPr>
        <w:t xml:space="preserve"> 119 is</w:t>
      </w:r>
      <w:r w:rsidR="00617F22" w:rsidRPr="00741300">
        <w:rPr>
          <w:rFonts w:ascii="Nirmala UI" w:hAnsi="Nirmala UI" w:cs="Nirmala UI"/>
          <w:sz w:val="28"/>
          <w:szCs w:val="28"/>
        </w:rPr>
        <w:t xml:space="preserve"> to include relevant information for the users of eligible subsidiaries</w:t>
      </w:r>
      <w:r w:rsidR="00617F22" w:rsidRPr="00741300">
        <w:rPr>
          <w:rFonts w:ascii="Nirmala UI" w:hAnsi="Nirmala UI" w:cs="Nirmala UI"/>
          <w:sz w:val="28"/>
          <w:szCs w:val="28"/>
        </w:rPr>
        <w:t>,</w:t>
      </w:r>
      <w:r w:rsidR="00617F22" w:rsidRPr="00741300">
        <w:rPr>
          <w:rFonts w:ascii="Nirmala UI" w:hAnsi="Nirmala UI" w:cs="Nirmala UI"/>
          <w:sz w:val="28"/>
          <w:szCs w:val="28"/>
        </w:rPr>
        <w:t xml:space="preserve"> the most relevant part of the information will be provided on a comparable basis.</w:t>
      </w:r>
    </w:p>
    <w:p w14:paraId="7C7C6A6F" w14:textId="77777777" w:rsidR="00741300" w:rsidRDefault="00741300" w:rsidP="00741300">
      <w:pPr>
        <w:spacing w:after="0" w:line="360" w:lineRule="auto"/>
        <w:jc w:val="both"/>
        <w:rPr>
          <w:rFonts w:ascii="Nirmala UI" w:hAnsi="Nirmala UI" w:cs="Nirmala UI"/>
          <w:sz w:val="28"/>
          <w:szCs w:val="28"/>
        </w:rPr>
      </w:pPr>
    </w:p>
    <w:p w14:paraId="2A06240F" w14:textId="65E71A3C" w:rsidR="000E1E49"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12. </w:t>
      </w:r>
      <w:r w:rsidR="006C3E43" w:rsidRPr="00741300">
        <w:rPr>
          <w:rFonts w:ascii="Nirmala UI" w:hAnsi="Nirmala UI" w:cs="Nirmala UI"/>
          <w:sz w:val="28"/>
          <w:szCs w:val="28"/>
        </w:rPr>
        <w:t>T</w:t>
      </w:r>
      <w:r w:rsidR="006C3E43" w:rsidRPr="00741300">
        <w:rPr>
          <w:rFonts w:ascii="Nirmala UI" w:hAnsi="Nirmala UI" w:cs="Nirmala UI"/>
          <w:sz w:val="28"/>
          <w:szCs w:val="28"/>
        </w:rPr>
        <w:t xml:space="preserve">he implementation of </w:t>
      </w:r>
      <w:proofErr w:type="spellStart"/>
      <w:r w:rsidR="006C3E43" w:rsidRPr="00741300">
        <w:rPr>
          <w:rFonts w:ascii="Nirmala UI" w:hAnsi="Nirmala UI" w:cs="Nirmala UI"/>
          <w:sz w:val="28"/>
          <w:szCs w:val="28"/>
        </w:rPr>
        <w:t>I</w:t>
      </w:r>
      <w:r w:rsidR="006C3E43" w:rsidRPr="00741300">
        <w:rPr>
          <w:rFonts w:ascii="Nirmala UI" w:hAnsi="Nirmala UI" w:cs="Nirmala UI"/>
          <w:sz w:val="28"/>
          <w:szCs w:val="28"/>
        </w:rPr>
        <w:t>ndAS</w:t>
      </w:r>
      <w:proofErr w:type="spellEnd"/>
      <w:r w:rsidR="006C3E43" w:rsidRPr="00741300">
        <w:rPr>
          <w:rFonts w:ascii="Nirmala UI" w:hAnsi="Nirmala UI" w:cs="Nirmala UI"/>
          <w:sz w:val="28"/>
          <w:szCs w:val="28"/>
        </w:rPr>
        <w:t xml:space="preserve"> </w:t>
      </w:r>
      <w:r w:rsidR="006C3E43" w:rsidRPr="00741300">
        <w:rPr>
          <w:rFonts w:ascii="Nirmala UI" w:hAnsi="Nirmala UI" w:cs="Nirmala UI"/>
          <w:sz w:val="28"/>
          <w:szCs w:val="28"/>
        </w:rPr>
        <w:t>1</w:t>
      </w:r>
      <w:r w:rsidR="006C3E43" w:rsidRPr="00741300">
        <w:rPr>
          <w:rFonts w:ascii="Nirmala UI" w:hAnsi="Nirmala UI" w:cs="Nirmala UI"/>
          <w:sz w:val="28"/>
          <w:szCs w:val="28"/>
        </w:rPr>
        <w:t xml:space="preserve">19 will result in limited, mainly one-off, incremental costs for preparers, which will be mostly offset by efficiency gains resulting either from preparing annual accounts with fewer </w:t>
      </w:r>
      <w:r w:rsidR="006C3E43" w:rsidRPr="00741300">
        <w:rPr>
          <w:rFonts w:ascii="Nirmala UI" w:hAnsi="Nirmala UI" w:cs="Nirmala UI"/>
          <w:sz w:val="28"/>
          <w:szCs w:val="28"/>
        </w:rPr>
        <w:lastRenderedPageBreak/>
        <w:t xml:space="preserve">disclosures for </w:t>
      </w:r>
      <w:r w:rsidR="006C3E43" w:rsidRPr="00741300">
        <w:rPr>
          <w:rFonts w:ascii="Nirmala UI" w:hAnsi="Nirmala UI" w:cs="Nirmala UI"/>
          <w:sz w:val="28"/>
          <w:szCs w:val="28"/>
        </w:rPr>
        <w:t xml:space="preserve">the standard. The gain in cost will be </w:t>
      </w:r>
      <w:r w:rsidR="006C3E43" w:rsidRPr="00741300">
        <w:rPr>
          <w:rFonts w:ascii="Nirmala UI" w:hAnsi="Nirmala UI" w:cs="Nirmala UI"/>
          <w:sz w:val="28"/>
          <w:szCs w:val="28"/>
        </w:rPr>
        <w:t xml:space="preserve">from not having to have dual records. However, the extent of these costs will differ across jurisdictions and will depend on local requirements in respect of taxation, dividend distribution and audit, as well as on how the internal reporting processes are organised within a group (for example, whether and how shared service centres are used). </w:t>
      </w:r>
    </w:p>
    <w:p w14:paraId="0AAE0C1A" w14:textId="77777777" w:rsidR="00741300" w:rsidRDefault="00741300" w:rsidP="00741300">
      <w:pPr>
        <w:spacing w:after="0" w:line="360" w:lineRule="auto"/>
        <w:jc w:val="both"/>
        <w:rPr>
          <w:rFonts w:ascii="Nirmala UI" w:hAnsi="Nirmala UI" w:cs="Nirmala UI"/>
          <w:sz w:val="28"/>
          <w:szCs w:val="28"/>
        </w:rPr>
      </w:pPr>
    </w:p>
    <w:p w14:paraId="29E84068" w14:textId="2256727C" w:rsidR="00173BD9" w:rsidRPr="00741300" w:rsidRDefault="0034061B"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13. </w:t>
      </w:r>
      <w:r w:rsidR="00173BD9" w:rsidRPr="00741300">
        <w:rPr>
          <w:rFonts w:ascii="Nirmala UI" w:hAnsi="Nirmala UI" w:cs="Nirmala UI"/>
          <w:sz w:val="28"/>
          <w:szCs w:val="28"/>
        </w:rPr>
        <w:t>SIRC of ICAI recognizes the following benefits</w:t>
      </w:r>
      <w:r w:rsidR="00F14E2C">
        <w:rPr>
          <w:rFonts w:ascii="Nirmala UI" w:hAnsi="Nirmala UI" w:cs="Nirmala UI"/>
          <w:sz w:val="28"/>
          <w:szCs w:val="28"/>
        </w:rPr>
        <w:t xml:space="preserve"> from the ED</w:t>
      </w:r>
      <w:r w:rsidR="00173BD9" w:rsidRPr="00741300">
        <w:rPr>
          <w:rFonts w:ascii="Nirmala UI" w:hAnsi="Nirmala UI" w:cs="Nirmala UI"/>
          <w:sz w:val="28"/>
          <w:szCs w:val="28"/>
        </w:rPr>
        <w:t>:</w:t>
      </w:r>
    </w:p>
    <w:p w14:paraId="3C30F492" w14:textId="77777777" w:rsidR="00741300" w:rsidRDefault="00741300" w:rsidP="00741300">
      <w:pPr>
        <w:spacing w:after="0" w:line="360" w:lineRule="auto"/>
        <w:jc w:val="both"/>
        <w:rPr>
          <w:rFonts w:ascii="Nirmala UI" w:hAnsi="Nirmala UI" w:cs="Nirmala UI"/>
          <w:sz w:val="28"/>
          <w:szCs w:val="28"/>
        </w:rPr>
      </w:pPr>
    </w:p>
    <w:p w14:paraId="38BF89D9" w14:textId="5212F43F"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proofErr w:type="spellStart"/>
      <w:r w:rsidRPr="00741300">
        <w:rPr>
          <w:rFonts w:ascii="Nirmala UI" w:hAnsi="Nirmala UI" w:cs="Nirmala UI"/>
          <w:sz w:val="28"/>
          <w:szCs w:val="28"/>
        </w:rPr>
        <w:t>i</w:t>
      </w:r>
      <w:proofErr w:type="spellEnd"/>
      <w:r w:rsidRPr="00741300">
        <w:rPr>
          <w:rFonts w:ascii="Nirmala UI" w:hAnsi="Nirmala UI" w:cs="Nirmala UI"/>
          <w:sz w:val="28"/>
          <w:szCs w:val="28"/>
        </w:rPr>
        <w:t xml:space="preserve">) cost and time savings from preparing financial statements with fewer disclosures for entities applying </w:t>
      </w:r>
      <w:proofErr w:type="spellStart"/>
      <w:r w:rsidRPr="00741300">
        <w:rPr>
          <w:rFonts w:ascii="Nirmala UI" w:hAnsi="Nirmala UI" w:cs="Nirmala UI"/>
          <w:sz w:val="28"/>
          <w:szCs w:val="28"/>
        </w:rPr>
        <w:t>IndAS</w:t>
      </w:r>
      <w:proofErr w:type="spellEnd"/>
      <w:r w:rsidRPr="00741300">
        <w:rPr>
          <w:rFonts w:ascii="Nirmala UI" w:hAnsi="Nirmala UI" w:cs="Nirmala UI"/>
          <w:sz w:val="28"/>
          <w:szCs w:val="28"/>
        </w:rPr>
        <w:t xml:space="preserve"> 119</w:t>
      </w:r>
      <w:r w:rsidRPr="00741300">
        <w:rPr>
          <w:rFonts w:ascii="Nirmala UI" w:hAnsi="Nirmala UI" w:cs="Nirmala UI"/>
          <w:sz w:val="28"/>
          <w:szCs w:val="28"/>
        </w:rPr>
        <w:t xml:space="preserve">; </w:t>
      </w:r>
    </w:p>
    <w:p w14:paraId="74B83C7D" w14:textId="77777777" w:rsidR="00F14E2C" w:rsidRDefault="00F14E2C" w:rsidP="00741300">
      <w:pPr>
        <w:spacing w:after="0" w:line="360" w:lineRule="auto"/>
        <w:jc w:val="both"/>
        <w:rPr>
          <w:rFonts w:ascii="Nirmala UI" w:hAnsi="Nirmala UI" w:cs="Nirmala UI"/>
          <w:sz w:val="28"/>
          <w:szCs w:val="28"/>
        </w:rPr>
      </w:pPr>
    </w:p>
    <w:p w14:paraId="6F288C12" w14:textId="426E9235"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ii</w:t>
      </w:r>
      <w:r w:rsidRPr="00741300">
        <w:rPr>
          <w:rFonts w:ascii="Nirmala UI" w:hAnsi="Nirmala UI" w:cs="Nirmala UI"/>
          <w:sz w:val="28"/>
          <w:szCs w:val="28"/>
        </w:rPr>
        <w:t xml:space="preserve">) no need for dual accounting records for entities applying GAAP switching to </w:t>
      </w:r>
      <w:proofErr w:type="spellStart"/>
      <w:r w:rsidRPr="00741300">
        <w:rPr>
          <w:rFonts w:ascii="Nirmala UI" w:hAnsi="Nirmala UI" w:cs="Nirmala UI"/>
          <w:sz w:val="28"/>
          <w:szCs w:val="28"/>
        </w:rPr>
        <w:t>IndAS</w:t>
      </w:r>
      <w:proofErr w:type="spellEnd"/>
      <w:r w:rsidRPr="00741300">
        <w:rPr>
          <w:rFonts w:ascii="Nirmala UI" w:hAnsi="Nirmala UI" w:cs="Nirmala UI"/>
          <w:sz w:val="28"/>
          <w:szCs w:val="28"/>
        </w:rPr>
        <w:t xml:space="preserve"> 119</w:t>
      </w:r>
      <w:r w:rsidRPr="00741300">
        <w:rPr>
          <w:rFonts w:ascii="Nirmala UI" w:hAnsi="Nirmala UI" w:cs="Nirmala UI"/>
          <w:sz w:val="28"/>
          <w:szCs w:val="28"/>
        </w:rPr>
        <w:t>;</w:t>
      </w:r>
    </w:p>
    <w:p w14:paraId="17DF09AE" w14:textId="77777777" w:rsidR="00F14E2C" w:rsidRDefault="00F14E2C" w:rsidP="00741300">
      <w:pPr>
        <w:spacing w:after="0" w:line="360" w:lineRule="auto"/>
        <w:jc w:val="both"/>
        <w:rPr>
          <w:rFonts w:ascii="Nirmala UI" w:hAnsi="Nirmala UI" w:cs="Nirmala UI"/>
          <w:sz w:val="28"/>
          <w:szCs w:val="28"/>
        </w:rPr>
      </w:pPr>
    </w:p>
    <w:p w14:paraId="4ED130D2" w14:textId="5AF5843D"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iii</w:t>
      </w:r>
      <w:r w:rsidRPr="00741300">
        <w:rPr>
          <w:rFonts w:ascii="Nirmala UI" w:hAnsi="Nirmala UI" w:cs="Nirmala UI"/>
          <w:sz w:val="28"/>
          <w:szCs w:val="28"/>
        </w:rPr>
        <w:t xml:space="preserve">) the use of a uniform financial reporting framework, promoting consistency in accounting practices across subsidiaries and the parent entity; </w:t>
      </w:r>
    </w:p>
    <w:p w14:paraId="59754452" w14:textId="77777777" w:rsidR="00F14E2C" w:rsidRDefault="00F14E2C" w:rsidP="00741300">
      <w:pPr>
        <w:spacing w:after="0" w:line="360" w:lineRule="auto"/>
        <w:jc w:val="both"/>
        <w:rPr>
          <w:rFonts w:ascii="Nirmala UI" w:hAnsi="Nirmala UI" w:cs="Nirmala UI"/>
          <w:sz w:val="28"/>
          <w:szCs w:val="28"/>
        </w:rPr>
      </w:pPr>
    </w:p>
    <w:p w14:paraId="341F99F8" w14:textId="628312CE"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iv</w:t>
      </w:r>
      <w:r w:rsidRPr="00741300">
        <w:rPr>
          <w:rFonts w:ascii="Nirmala UI" w:hAnsi="Nirmala UI" w:cs="Nirmala UI"/>
          <w:sz w:val="28"/>
          <w:szCs w:val="28"/>
        </w:rPr>
        <w:t xml:space="preserve">) better financial reporting quality and a more streamlined consolidation process; </w:t>
      </w:r>
    </w:p>
    <w:p w14:paraId="4CC64635" w14:textId="624A26E0"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v</w:t>
      </w:r>
      <w:r w:rsidRPr="00741300">
        <w:rPr>
          <w:rFonts w:ascii="Nirmala UI" w:hAnsi="Nirmala UI" w:cs="Nirmala UI"/>
          <w:sz w:val="28"/>
          <w:szCs w:val="28"/>
        </w:rPr>
        <w:t xml:space="preserve">) a lower risk of errors due to the use of the same accounting framework; </w:t>
      </w:r>
    </w:p>
    <w:p w14:paraId="3F3FB94D" w14:textId="77777777" w:rsidR="00F14E2C" w:rsidRDefault="00F14E2C" w:rsidP="00741300">
      <w:pPr>
        <w:spacing w:after="0" w:line="360" w:lineRule="auto"/>
        <w:jc w:val="both"/>
        <w:rPr>
          <w:rFonts w:ascii="Nirmala UI" w:hAnsi="Nirmala UI" w:cs="Nirmala UI"/>
          <w:sz w:val="28"/>
          <w:szCs w:val="28"/>
        </w:rPr>
      </w:pPr>
    </w:p>
    <w:p w14:paraId="6CD00BBB" w14:textId="02CAF5AE"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vi</w:t>
      </w:r>
      <w:r w:rsidRPr="00741300">
        <w:rPr>
          <w:rFonts w:ascii="Nirmala UI" w:hAnsi="Nirmala UI" w:cs="Nirmala UI"/>
          <w:sz w:val="28"/>
          <w:szCs w:val="28"/>
        </w:rPr>
        <w:t xml:space="preserve">) improved relevance and comparability of eligible subsidiaries’ financial statements; and </w:t>
      </w:r>
    </w:p>
    <w:p w14:paraId="4CD5F20E" w14:textId="77777777" w:rsidR="00F14E2C" w:rsidRDefault="00F14E2C" w:rsidP="00741300">
      <w:pPr>
        <w:spacing w:after="0" w:line="360" w:lineRule="auto"/>
        <w:jc w:val="both"/>
        <w:rPr>
          <w:rFonts w:ascii="Nirmala UI" w:hAnsi="Nirmala UI" w:cs="Nirmala UI"/>
          <w:sz w:val="28"/>
          <w:szCs w:val="28"/>
        </w:rPr>
      </w:pPr>
    </w:p>
    <w:p w14:paraId="654561D5" w14:textId="0AB49572" w:rsidR="00173BD9" w:rsidRPr="00741300" w:rsidRDefault="00173BD9"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w:t>
      </w:r>
      <w:r w:rsidRPr="00741300">
        <w:rPr>
          <w:rFonts w:ascii="Nirmala UI" w:hAnsi="Nirmala UI" w:cs="Nirmala UI"/>
          <w:sz w:val="28"/>
          <w:szCs w:val="28"/>
        </w:rPr>
        <w:t>vii</w:t>
      </w:r>
      <w:r w:rsidRPr="00741300">
        <w:rPr>
          <w:rFonts w:ascii="Nirmala UI" w:hAnsi="Nirmala UI" w:cs="Nirmala UI"/>
          <w:sz w:val="28"/>
          <w:szCs w:val="28"/>
        </w:rPr>
        <w:t>) increased efficiency in analysing and comparing financial data across subsidiaries.</w:t>
      </w:r>
    </w:p>
    <w:p w14:paraId="5047FFB1" w14:textId="77777777" w:rsidR="00173BD9" w:rsidRPr="00741300" w:rsidRDefault="00173BD9" w:rsidP="00741300">
      <w:pPr>
        <w:spacing w:after="0" w:line="360" w:lineRule="auto"/>
        <w:jc w:val="both"/>
        <w:rPr>
          <w:rFonts w:ascii="Nirmala UI" w:hAnsi="Nirmala UI" w:cs="Nirmala UI"/>
          <w:b/>
          <w:bCs/>
          <w:sz w:val="28"/>
          <w:szCs w:val="28"/>
          <w:u w:val="single"/>
        </w:rPr>
      </w:pPr>
    </w:p>
    <w:p w14:paraId="37AB12EA" w14:textId="4D0EB10F" w:rsidR="00CC7EB3"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14. </w:t>
      </w:r>
      <w:r w:rsidR="00CC7EB3" w:rsidRPr="00741300">
        <w:rPr>
          <w:rFonts w:ascii="Nirmala UI" w:hAnsi="Nirmala UI" w:cs="Nirmala UI"/>
          <w:sz w:val="28"/>
          <w:szCs w:val="28"/>
        </w:rPr>
        <w:t xml:space="preserve">The </w:t>
      </w:r>
      <w:proofErr w:type="spellStart"/>
      <w:r w:rsidR="00CC7EB3" w:rsidRPr="00741300">
        <w:rPr>
          <w:rFonts w:ascii="Nirmala UI" w:hAnsi="Nirmala UI" w:cs="Nirmala UI"/>
          <w:sz w:val="28"/>
          <w:szCs w:val="28"/>
        </w:rPr>
        <w:t>IndAS</w:t>
      </w:r>
      <w:proofErr w:type="spellEnd"/>
      <w:r w:rsidR="00CC7EB3" w:rsidRPr="00741300">
        <w:rPr>
          <w:rFonts w:ascii="Nirmala UI" w:hAnsi="Nirmala UI" w:cs="Nirmala UI"/>
          <w:sz w:val="28"/>
          <w:szCs w:val="28"/>
        </w:rPr>
        <w:t xml:space="preserve"> 119 </w:t>
      </w:r>
      <w:r w:rsidR="00CC7EB3" w:rsidRPr="00741300">
        <w:rPr>
          <w:rFonts w:ascii="Nirmala UI" w:hAnsi="Nirmala UI" w:cs="Nirmala UI"/>
          <w:sz w:val="28"/>
          <w:szCs w:val="28"/>
        </w:rPr>
        <w:t xml:space="preserve">mark a </w:t>
      </w:r>
      <w:r w:rsidR="00CC7EB3" w:rsidRPr="00741300">
        <w:rPr>
          <w:rFonts w:ascii="Nirmala UI" w:hAnsi="Nirmala UI" w:cs="Nirmala UI"/>
          <w:sz w:val="28"/>
          <w:szCs w:val="28"/>
        </w:rPr>
        <w:t xml:space="preserve">positive </w:t>
      </w:r>
      <w:r w:rsidR="00CC7EB3" w:rsidRPr="00741300">
        <w:rPr>
          <w:rFonts w:ascii="Nirmala UI" w:hAnsi="Nirmala UI" w:cs="Nirmala UI"/>
          <w:sz w:val="28"/>
          <w:szCs w:val="28"/>
        </w:rPr>
        <w:t xml:space="preserve">step forward in refining financial reporting for subsidiaries without public accountability. By reducing unnecessary disclosures while maintaining consistency in measurement principles, these changes make reporting more efficient and cost effective. This shift enables subsidiaries and their parent groups to redirect resources toward strategic financial priorities without sacrificing transparency or compliance. Finance leaders, auditors, and </w:t>
      </w:r>
      <w:r w:rsidR="00CC7EB3" w:rsidRPr="00741300">
        <w:rPr>
          <w:rFonts w:ascii="Nirmala UI" w:hAnsi="Nirmala UI" w:cs="Nirmala UI"/>
          <w:sz w:val="28"/>
          <w:szCs w:val="28"/>
        </w:rPr>
        <w:t xml:space="preserve">regulators are expected </w:t>
      </w:r>
      <w:r w:rsidR="00CC7EB3" w:rsidRPr="00741300">
        <w:rPr>
          <w:rFonts w:ascii="Nirmala UI" w:hAnsi="Nirmala UI" w:cs="Nirmala UI"/>
          <w:sz w:val="28"/>
          <w:szCs w:val="28"/>
        </w:rPr>
        <w:t>take a proactive approach to understanding and implementing these amendments to fully realize their benefits and ensure a smooth transition within the evolving framework</w:t>
      </w:r>
      <w:r w:rsidR="00CC7EB3" w:rsidRPr="00741300">
        <w:rPr>
          <w:rFonts w:ascii="Nirmala UI" w:hAnsi="Nirmala UI" w:cs="Nirmala UI"/>
          <w:sz w:val="28"/>
          <w:szCs w:val="28"/>
        </w:rPr>
        <w:t>.</w:t>
      </w:r>
    </w:p>
    <w:p w14:paraId="0617EF96" w14:textId="77777777" w:rsidR="00CC7EB3" w:rsidRDefault="00CC7EB3" w:rsidP="00741300">
      <w:pPr>
        <w:spacing w:after="0" w:line="360" w:lineRule="auto"/>
        <w:jc w:val="both"/>
        <w:rPr>
          <w:rFonts w:ascii="Nirmala UI" w:hAnsi="Nirmala UI" w:cs="Nirmala UI"/>
          <w:b/>
          <w:bCs/>
          <w:sz w:val="28"/>
          <w:szCs w:val="28"/>
          <w:u w:val="single"/>
        </w:rPr>
      </w:pPr>
    </w:p>
    <w:p w14:paraId="10B99263" w14:textId="139BAE3A" w:rsidR="00741300" w:rsidRPr="00741300" w:rsidRDefault="00587E7A" w:rsidP="00741300">
      <w:pPr>
        <w:spacing w:after="0" w:line="360" w:lineRule="auto"/>
        <w:jc w:val="both"/>
        <w:rPr>
          <w:rFonts w:ascii="Nirmala UI" w:hAnsi="Nirmala UI" w:cs="Nirmala UI"/>
          <w:b/>
          <w:bCs/>
          <w:sz w:val="28"/>
          <w:szCs w:val="28"/>
          <w:u w:val="single"/>
        </w:rPr>
      </w:pPr>
      <w:r>
        <w:rPr>
          <w:rFonts w:ascii="Nirmala UI" w:hAnsi="Nirmala UI" w:cs="Nirmala UI"/>
          <w:b/>
          <w:bCs/>
          <w:sz w:val="28"/>
          <w:szCs w:val="28"/>
          <w:u w:val="single"/>
        </w:rPr>
        <w:t xml:space="preserve">II. </w:t>
      </w:r>
      <w:r w:rsidR="00741300">
        <w:rPr>
          <w:rFonts w:ascii="Nirmala UI" w:hAnsi="Nirmala UI" w:cs="Nirmala UI"/>
          <w:b/>
          <w:bCs/>
          <w:sz w:val="28"/>
          <w:szCs w:val="28"/>
          <w:u w:val="single"/>
        </w:rPr>
        <w:t>Scope-wise Comments</w:t>
      </w:r>
    </w:p>
    <w:p w14:paraId="5CCE135D" w14:textId="77777777" w:rsidR="00741300" w:rsidRDefault="00741300" w:rsidP="00741300">
      <w:pPr>
        <w:spacing w:after="0" w:line="360" w:lineRule="auto"/>
        <w:jc w:val="both"/>
        <w:rPr>
          <w:rFonts w:ascii="Nirmala UI" w:hAnsi="Nirmala UI" w:cs="Nirmala UI"/>
          <w:b/>
          <w:bCs/>
          <w:sz w:val="28"/>
          <w:szCs w:val="28"/>
          <w:u w:val="single"/>
        </w:rPr>
      </w:pPr>
    </w:p>
    <w:p w14:paraId="7C77FC3F" w14:textId="0BA1E4AA" w:rsidR="006E1D0F" w:rsidRPr="00741300" w:rsidRDefault="006E1D0F" w:rsidP="00741300">
      <w:pPr>
        <w:spacing w:after="0" w:line="360" w:lineRule="auto"/>
        <w:jc w:val="both"/>
        <w:rPr>
          <w:rFonts w:ascii="Nirmala UI" w:hAnsi="Nirmala UI" w:cs="Nirmala UI"/>
          <w:b/>
          <w:bCs/>
          <w:sz w:val="28"/>
          <w:szCs w:val="28"/>
          <w:u w:val="single"/>
        </w:rPr>
      </w:pPr>
      <w:r w:rsidRPr="00741300">
        <w:rPr>
          <w:rFonts w:ascii="Nirmala UI" w:hAnsi="Nirmala UI" w:cs="Nirmala UI"/>
          <w:b/>
          <w:bCs/>
          <w:sz w:val="28"/>
          <w:szCs w:val="28"/>
          <w:u w:val="single"/>
        </w:rPr>
        <w:t>Scope</w:t>
      </w:r>
    </w:p>
    <w:p w14:paraId="20D0EA87" w14:textId="77777777" w:rsidR="00741300" w:rsidRDefault="00741300" w:rsidP="00741300">
      <w:pPr>
        <w:spacing w:after="0" w:line="360" w:lineRule="auto"/>
        <w:jc w:val="both"/>
        <w:rPr>
          <w:rFonts w:ascii="Nirmala UI" w:hAnsi="Nirmala UI" w:cs="Nirmala UI"/>
          <w:sz w:val="28"/>
          <w:szCs w:val="28"/>
        </w:rPr>
      </w:pPr>
    </w:p>
    <w:p w14:paraId="7CFBAC0F" w14:textId="5BBD368E" w:rsidR="006E1D0F" w:rsidRPr="00F14E2C" w:rsidRDefault="00F14E2C" w:rsidP="00F14E2C">
      <w:pPr>
        <w:spacing w:after="0" w:line="360" w:lineRule="auto"/>
        <w:jc w:val="both"/>
        <w:rPr>
          <w:rFonts w:ascii="Nirmala UI" w:hAnsi="Nirmala UI" w:cs="Nirmala UI"/>
          <w:sz w:val="28"/>
          <w:szCs w:val="28"/>
        </w:rPr>
      </w:pPr>
      <w:r w:rsidRPr="00F14E2C">
        <w:rPr>
          <w:rFonts w:ascii="Nirmala UI" w:hAnsi="Nirmala UI" w:cs="Nirmala UI"/>
          <w:sz w:val="28"/>
          <w:szCs w:val="28"/>
        </w:rPr>
        <w:t>1.</w:t>
      </w:r>
      <w:r>
        <w:rPr>
          <w:rFonts w:ascii="Nirmala UI" w:hAnsi="Nirmala UI" w:cs="Nirmala UI"/>
          <w:sz w:val="28"/>
          <w:szCs w:val="28"/>
        </w:rPr>
        <w:t xml:space="preserve"> </w:t>
      </w:r>
      <w:r w:rsidR="006E1D0F" w:rsidRPr="00F14E2C">
        <w:rPr>
          <w:rFonts w:ascii="Nirmala UI" w:hAnsi="Nirmala UI" w:cs="Nirmala UI"/>
          <w:sz w:val="28"/>
          <w:szCs w:val="28"/>
        </w:rPr>
        <w:t>The ED provides that-</w:t>
      </w:r>
    </w:p>
    <w:p w14:paraId="7D2FDD0C" w14:textId="77777777" w:rsidR="00F14E2C" w:rsidRDefault="00F14E2C" w:rsidP="00741300">
      <w:pPr>
        <w:spacing w:after="0" w:line="360" w:lineRule="auto"/>
        <w:jc w:val="both"/>
        <w:rPr>
          <w:rFonts w:ascii="Nirmala UI" w:hAnsi="Nirmala UI" w:cs="Nirmala UI"/>
          <w:sz w:val="28"/>
          <w:szCs w:val="28"/>
        </w:rPr>
      </w:pPr>
    </w:p>
    <w:p w14:paraId="115BF20C" w14:textId="5FD6CF22" w:rsidR="006E1D0F"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1.1 </w:t>
      </w:r>
      <w:r w:rsidR="006E1D0F" w:rsidRPr="00741300">
        <w:rPr>
          <w:rFonts w:ascii="Nirmala UI" w:hAnsi="Nirmala UI" w:cs="Nirmala UI"/>
          <w:sz w:val="28"/>
          <w:szCs w:val="28"/>
        </w:rPr>
        <w:t>An entity has public accountability if:</w:t>
      </w:r>
    </w:p>
    <w:p w14:paraId="56634F63" w14:textId="77777777" w:rsidR="00587E7A" w:rsidRDefault="00587E7A" w:rsidP="00741300">
      <w:pPr>
        <w:spacing w:after="0" w:line="360" w:lineRule="auto"/>
        <w:jc w:val="both"/>
        <w:rPr>
          <w:rFonts w:ascii="Nirmala UI" w:hAnsi="Nirmala UI" w:cs="Nirmala UI"/>
          <w:sz w:val="28"/>
          <w:szCs w:val="28"/>
        </w:rPr>
      </w:pPr>
    </w:p>
    <w:p w14:paraId="0F617035" w14:textId="608B2DA7" w:rsidR="006E1D0F" w:rsidRPr="00741300" w:rsidRDefault="006E1D0F"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 xml:space="preserve">• its debt or equity instruments are traded in a public market or it is in the process of issuing such instruments for trading in a public market (a </w:t>
      </w:r>
      <w:r w:rsidRPr="00741300">
        <w:rPr>
          <w:rFonts w:ascii="Nirmala UI" w:hAnsi="Nirmala UI" w:cs="Nirmala UI"/>
          <w:sz w:val="28"/>
          <w:szCs w:val="28"/>
        </w:rPr>
        <w:lastRenderedPageBreak/>
        <w:t>domestic or foreign stock exchange or an over-the-counter market, including local and regional markets); or</w:t>
      </w:r>
    </w:p>
    <w:p w14:paraId="786F4A88" w14:textId="77777777" w:rsidR="00587E7A" w:rsidRDefault="00587E7A" w:rsidP="00741300">
      <w:pPr>
        <w:spacing w:after="0" w:line="360" w:lineRule="auto"/>
        <w:jc w:val="both"/>
        <w:rPr>
          <w:rFonts w:ascii="Nirmala UI" w:hAnsi="Nirmala UI" w:cs="Nirmala UI"/>
          <w:sz w:val="28"/>
          <w:szCs w:val="28"/>
        </w:rPr>
      </w:pPr>
    </w:p>
    <w:p w14:paraId="499852C6" w14:textId="56CC5896" w:rsidR="006E1D0F" w:rsidRPr="00741300" w:rsidRDefault="006E1D0F"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 it holds assets in a fiduciary capacity for a broad group of outsiders as one of its primary businesses (for example, banks, credit unions, insurance companies, securities brokers/dealers, mutual funds and investment banks often meet this criterion)</w:t>
      </w:r>
      <w:r w:rsidRPr="00741300">
        <w:rPr>
          <w:rFonts w:ascii="Nirmala UI" w:hAnsi="Nirmala UI" w:cs="Nirmala UI"/>
          <w:sz w:val="28"/>
          <w:szCs w:val="28"/>
        </w:rPr>
        <w:t>.</w:t>
      </w:r>
    </w:p>
    <w:p w14:paraId="708E0BFA" w14:textId="77777777" w:rsidR="00741300" w:rsidRDefault="00741300" w:rsidP="00741300">
      <w:pPr>
        <w:spacing w:after="0" w:line="360" w:lineRule="auto"/>
        <w:jc w:val="both"/>
        <w:rPr>
          <w:rFonts w:ascii="Nirmala UI" w:hAnsi="Nirmala UI" w:cs="Nirmala UI"/>
          <w:sz w:val="28"/>
          <w:szCs w:val="28"/>
        </w:rPr>
      </w:pPr>
    </w:p>
    <w:p w14:paraId="63640A64" w14:textId="3C036A39" w:rsidR="006E1D0F"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1.2 </w:t>
      </w:r>
      <w:r w:rsidR="006E1D0F" w:rsidRPr="00741300">
        <w:rPr>
          <w:rFonts w:ascii="Nirmala UI" w:hAnsi="Nirmala UI" w:cs="Nirmala UI"/>
          <w:sz w:val="28"/>
          <w:szCs w:val="28"/>
        </w:rPr>
        <w:t xml:space="preserve">The above paras make it clear </w:t>
      </w:r>
      <w:r w:rsidR="006E1D0F" w:rsidRPr="00741300">
        <w:rPr>
          <w:rFonts w:ascii="Nirmala UI" w:hAnsi="Nirmala UI" w:cs="Nirmala UI"/>
          <w:sz w:val="28"/>
          <w:szCs w:val="28"/>
        </w:rPr>
        <w:t xml:space="preserve">majority of financial institutions and insurance companies are excluded from the scope of </w:t>
      </w:r>
      <w:proofErr w:type="spellStart"/>
      <w:r w:rsidR="006E1D0F" w:rsidRPr="00741300">
        <w:rPr>
          <w:rFonts w:ascii="Nirmala UI" w:hAnsi="Nirmala UI" w:cs="Nirmala UI"/>
          <w:sz w:val="28"/>
          <w:szCs w:val="28"/>
        </w:rPr>
        <w:t>I</w:t>
      </w:r>
      <w:r w:rsidR="006E1D0F" w:rsidRPr="00741300">
        <w:rPr>
          <w:rFonts w:ascii="Nirmala UI" w:hAnsi="Nirmala UI" w:cs="Nirmala UI"/>
          <w:sz w:val="28"/>
          <w:szCs w:val="28"/>
        </w:rPr>
        <w:t>ndAS</w:t>
      </w:r>
      <w:proofErr w:type="spellEnd"/>
      <w:r w:rsidR="006E1D0F" w:rsidRPr="00741300">
        <w:rPr>
          <w:rFonts w:ascii="Nirmala UI" w:hAnsi="Nirmala UI" w:cs="Nirmala UI"/>
          <w:sz w:val="28"/>
          <w:szCs w:val="28"/>
        </w:rPr>
        <w:t xml:space="preserve"> </w:t>
      </w:r>
      <w:r w:rsidR="006E1D0F" w:rsidRPr="00741300">
        <w:rPr>
          <w:rFonts w:ascii="Nirmala UI" w:hAnsi="Nirmala UI" w:cs="Nirmala UI"/>
          <w:sz w:val="28"/>
          <w:szCs w:val="28"/>
        </w:rPr>
        <w:t>1</w:t>
      </w:r>
      <w:r w:rsidR="006E1D0F" w:rsidRPr="00741300">
        <w:rPr>
          <w:rFonts w:ascii="Nirmala UI" w:hAnsi="Nirmala UI" w:cs="Nirmala UI"/>
          <w:sz w:val="28"/>
          <w:szCs w:val="28"/>
        </w:rPr>
        <w:t>19.</w:t>
      </w:r>
    </w:p>
    <w:p w14:paraId="6ABB8C7B" w14:textId="77777777" w:rsidR="00741300" w:rsidRDefault="00741300" w:rsidP="00741300">
      <w:pPr>
        <w:spacing w:after="0" w:line="360" w:lineRule="auto"/>
        <w:jc w:val="both"/>
        <w:rPr>
          <w:rFonts w:ascii="Nirmala UI" w:hAnsi="Nirmala UI" w:cs="Nirmala UI"/>
          <w:sz w:val="28"/>
          <w:szCs w:val="28"/>
        </w:rPr>
      </w:pPr>
    </w:p>
    <w:p w14:paraId="52333576" w14:textId="08620B4A" w:rsidR="000E1E49"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1.3 </w:t>
      </w:r>
      <w:r w:rsidR="000E1E49" w:rsidRPr="00741300">
        <w:rPr>
          <w:rFonts w:ascii="Nirmala UI" w:hAnsi="Nirmala UI" w:cs="Nirmala UI"/>
          <w:sz w:val="28"/>
          <w:szCs w:val="28"/>
        </w:rPr>
        <w:t>It is suggested that th</w:t>
      </w:r>
      <w:r w:rsidR="000E1E49" w:rsidRPr="00741300">
        <w:rPr>
          <w:rFonts w:ascii="Nirmala UI" w:hAnsi="Nirmala UI" w:cs="Nirmala UI"/>
          <w:sz w:val="28"/>
          <w:szCs w:val="28"/>
        </w:rPr>
        <w:t xml:space="preserve">is part </w:t>
      </w:r>
      <w:r w:rsidR="000E1E49" w:rsidRPr="00741300">
        <w:rPr>
          <w:rFonts w:ascii="Nirmala UI" w:hAnsi="Nirmala UI" w:cs="Nirmala UI"/>
          <w:sz w:val="28"/>
          <w:szCs w:val="28"/>
        </w:rPr>
        <w:t>may indicate approximate number of subsidiaries potentially impacted by the standard.</w:t>
      </w:r>
    </w:p>
    <w:p w14:paraId="541D533A" w14:textId="77777777" w:rsidR="00741300" w:rsidRDefault="00741300" w:rsidP="00741300">
      <w:pPr>
        <w:spacing w:after="0" w:line="360" w:lineRule="auto"/>
        <w:jc w:val="both"/>
        <w:rPr>
          <w:rFonts w:ascii="Nirmala UI" w:hAnsi="Nirmala UI" w:cs="Nirmala UI"/>
          <w:sz w:val="28"/>
          <w:szCs w:val="28"/>
        </w:rPr>
      </w:pPr>
    </w:p>
    <w:p w14:paraId="1C2C0094" w14:textId="1B1EF2BE" w:rsidR="00741300" w:rsidRPr="00741300" w:rsidRDefault="00F14E2C" w:rsidP="00741300">
      <w:pPr>
        <w:spacing w:after="0" w:line="360" w:lineRule="auto"/>
        <w:jc w:val="both"/>
        <w:rPr>
          <w:rFonts w:ascii="Nirmala UI" w:hAnsi="Nirmala UI" w:cs="Nirmala UI"/>
          <w:b/>
          <w:bCs/>
          <w:i/>
          <w:iCs/>
          <w:sz w:val="28"/>
          <w:szCs w:val="28"/>
          <w:u w:val="single"/>
        </w:rPr>
      </w:pPr>
      <w:r>
        <w:rPr>
          <w:rFonts w:ascii="Nirmala UI" w:hAnsi="Nirmala UI" w:cs="Nirmala UI"/>
          <w:b/>
          <w:bCs/>
          <w:sz w:val="28"/>
          <w:szCs w:val="28"/>
          <w:u w:val="single"/>
        </w:rPr>
        <w:t xml:space="preserve">2. </w:t>
      </w:r>
      <w:r w:rsidR="00741300" w:rsidRPr="00741300">
        <w:rPr>
          <w:rFonts w:ascii="Nirmala UI" w:hAnsi="Nirmala UI" w:cs="Nirmala UI"/>
          <w:b/>
          <w:bCs/>
          <w:sz w:val="28"/>
          <w:szCs w:val="28"/>
          <w:u w:val="single"/>
        </w:rPr>
        <w:t xml:space="preserve">Ind AS 27, </w:t>
      </w:r>
      <w:r w:rsidR="00741300" w:rsidRPr="00741300">
        <w:rPr>
          <w:rFonts w:ascii="Nirmala UI" w:hAnsi="Nirmala UI" w:cs="Nirmala UI"/>
          <w:b/>
          <w:bCs/>
          <w:i/>
          <w:iCs/>
          <w:sz w:val="28"/>
          <w:szCs w:val="28"/>
          <w:u w:val="single"/>
        </w:rPr>
        <w:t>Separate Financial Statements</w:t>
      </w:r>
    </w:p>
    <w:p w14:paraId="5651663B" w14:textId="77777777" w:rsidR="00741300" w:rsidRDefault="00741300" w:rsidP="00741300">
      <w:pPr>
        <w:spacing w:after="0" w:line="360" w:lineRule="auto"/>
        <w:jc w:val="both"/>
        <w:rPr>
          <w:rFonts w:ascii="Nirmala UI" w:hAnsi="Nirmala UI" w:cs="Nirmala UI"/>
          <w:sz w:val="28"/>
          <w:szCs w:val="28"/>
        </w:rPr>
      </w:pPr>
    </w:p>
    <w:p w14:paraId="5F1EFACA" w14:textId="03051243" w:rsidR="00741300"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2.1 </w:t>
      </w:r>
      <w:r w:rsidR="00741300" w:rsidRPr="00741300">
        <w:rPr>
          <w:rFonts w:ascii="Nirmala UI" w:hAnsi="Nirmala UI" w:cs="Nirmala UI"/>
          <w:sz w:val="28"/>
          <w:szCs w:val="28"/>
        </w:rPr>
        <w:t>For separate financial statements, a list of significant investments in subsidiaries, joint ventures and associates, including the name of those investees, their principal place of business and a proportion of the ownership interest held in those investees is necessary.’</w:t>
      </w:r>
    </w:p>
    <w:p w14:paraId="3B8DEB5F" w14:textId="77777777" w:rsidR="00741300" w:rsidRDefault="00741300" w:rsidP="00741300">
      <w:pPr>
        <w:spacing w:after="0" w:line="360" w:lineRule="auto"/>
        <w:jc w:val="both"/>
        <w:rPr>
          <w:rFonts w:ascii="Nirmala UI" w:hAnsi="Nirmala UI" w:cs="Nirmala UI"/>
          <w:b/>
          <w:bCs/>
          <w:sz w:val="28"/>
          <w:szCs w:val="28"/>
          <w:u w:val="single"/>
        </w:rPr>
      </w:pPr>
    </w:p>
    <w:p w14:paraId="6AE3597F" w14:textId="52F035DF" w:rsidR="00741300" w:rsidRPr="00741300" w:rsidRDefault="00F14E2C" w:rsidP="00741300">
      <w:pPr>
        <w:spacing w:after="0" w:line="360" w:lineRule="auto"/>
        <w:jc w:val="both"/>
        <w:rPr>
          <w:rFonts w:ascii="Nirmala UI" w:hAnsi="Nirmala UI" w:cs="Nirmala UI"/>
          <w:sz w:val="28"/>
          <w:szCs w:val="28"/>
          <w:u w:val="single"/>
        </w:rPr>
      </w:pPr>
      <w:r>
        <w:rPr>
          <w:rFonts w:ascii="Nirmala UI" w:hAnsi="Nirmala UI" w:cs="Nirmala UI"/>
          <w:b/>
          <w:bCs/>
          <w:sz w:val="28"/>
          <w:szCs w:val="28"/>
          <w:u w:val="single"/>
        </w:rPr>
        <w:t xml:space="preserve">2.2 </w:t>
      </w:r>
      <w:r w:rsidR="00741300" w:rsidRPr="00741300">
        <w:rPr>
          <w:rFonts w:ascii="Nirmala UI" w:hAnsi="Nirmala UI" w:cs="Nirmala UI"/>
          <w:b/>
          <w:bCs/>
          <w:sz w:val="28"/>
          <w:szCs w:val="28"/>
          <w:u w:val="single"/>
        </w:rPr>
        <w:t xml:space="preserve">Ind AS 32, </w:t>
      </w:r>
      <w:r w:rsidR="00741300" w:rsidRPr="00741300">
        <w:rPr>
          <w:rFonts w:ascii="Nirmala UI" w:hAnsi="Nirmala UI" w:cs="Nirmala UI"/>
          <w:b/>
          <w:bCs/>
          <w:i/>
          <w:iCs/>
          <w:sz w:val="28"/>
          <w:szCs w:val="28"/>
          <w:u w:val="single"/>
        </w:rPr>
        <w:t>Financial Instruments: Presentation</w:t>
      </w:r>
    </w:p>
    <w:p w14:paraId="2677E3EF" w14:textId="77777777" w:rsidR="00741300" w:rsidRDefault="00741300" w:rsidP="00741300">
      <w:pPr>
        <w:spacing w:after="0" w:line="360" w:lineRule="auto"/>
        <w:jc w:val="both"/>
        <w:rPr>
          <w:rFonts w:ascii="Nirmala UI" w:hAnsi="Nirmala UI" w:cs="Nirmala UI"/>
          <w:sz w:val="28"/>
          <w:szCs w:val="28"/>
        </w:rPr>
      </w:pPr>
    </w:p>
    <w:p w14:paraId="2EED4B5C" w14:textId="0BCBDA07" w:rsidR="00741300" w:rsidRDefault="00741300"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 xml:space="preserve">If Qualifying entities are exempt from the disclosure requirements of any other Accounting Standards provided that equivalent disclosures are </w:t>
      </w:r>
      <w:r w:rsidRPr="00741300">
        <w:rPr>
          <w:rFonts w:ascii="Nirmala UI" w:hAnsi="Nirmala UI" w:cs="Nirmala UI"/>
          <w:sz w:val="28"/>
          <w:szCs w:val="28"/>
        </w:rPr>
        <w:lastRenderedPageBreak/>
        <w:t xml:space="preserve">included in the consolidated financial statements of the group in which the entity is consolidated, it is </w:t>
      </w:r>
      <w:proofErr w:type="spellStart"/>
      <w:r w:rsidRPr="00741300">
        <w:rPr>
          <w:rFonts w:ascii="Nirmala UI" w:hAnsi="Nirmala UI" w:cs="Nirmala UI"/>
          <w:sz w:val="28"/>
          <w:szCs w:val="28"/>
        </w:rPr>
        <w:t>t</w:t>
      </w:r>
      <w:proofErr w:type="spellEnd"/>
      <w:r w:rsidRPr="00741300">
        <w:rPr>
          <w:rFonts w:ascii="Nirmala UI" w:hAnsi="Nirmala UI" w:cs="Nirmala UI"/>
          <w:sz w:val="28"/>
          <w:szCs w:val="28"/>
        </w:rPr>
        <w:t xml:space="preserve"> be clarified whether </w:t>
      </w:r>
      <w:proofErr w:type="spellStart"/>
      <w:r w:rsidRPr="00741300">
        <w:rPr>
          <w:rFonts w:ascii="Nirmala UI" w:hAnsi="Nirmala UI" w:cs="Nirmala UI"/>
          <w:sz w:val="28"/>
          <w:szCs w:val="28"/>
        </w:rPr>
        <w:t>IndAS</w:t>
      </w:r>
      <w:proofErr w:type="spellEnd"/>
      <w:r w:rsidRPr="00741300">
        <w:rPr>
          <w:rFonts w:ascii="Nirmala UI" w:hAnsi="Nirmala UI" w:cs="Nirmala UI"/>
          <w:sz w:val="28"/>
          <w:szCs w:val="28"/>
        </w:rPr>
        <w:t xml:space="preserve"> 119 should replicate this exemption to ensure proportionality of reporting requirements for eligible subsidiaries.</w:t>
      </w:r>
    </w:p>
    <w:p w14:paraId="284B1D96" w14:textId="77777777" w:rsidR="00741300" w:rsidRDefault="00741300" w:rsidP="00741300">
      <w:pPr>
        <w:spacing w:after="0" w:line="360" w:lineRule="auto"/>
        <w:jc w:val="both"/>
        <w:rPr>
          <w:rFonts w:ascii="Nirmala UI" w:hAnsi="Nirmala UI" w:cs="Nirmala UI"/>
          <w:sz w:val="28"/>
          <w:szCs w:val="28"/>
        </w:rPr>
      </w:pPr>
    </w:p>
    <w:p w14:paraId="37DA72CA" w14:textId="3F5ED4A8" w:rsidR="00741300" w:rsidRPr="00741300" w:rsidRDefault="00F14E2C" w:rsidP="00741300">
      <w:pPr>
        <w:spacing w:after="0" w:line="360" w:lineRule="auto"/>
        <w:jc w:val="both"/>
        <w:rPr>
          <w:rFonts w:ascii="Nirmala UI" w:hAnsi="Nirmala UI" w:cs="Nirmala UI"/>
          <w:b/>
          <w:bCs/>
          <w:i/>
          <w:iCs/>
          <w:sz w:val="28"/>
          <w:szCs w:val="28"/>
          <w:u w:val="single"/>
        </w:rPr>
      </w:pPr>
      <w:r>
        <w:rPr>
          <w:rFonts w:ascii="Nirmala UI" w:hAnsi="Nirmala UI" w:cs="Nirmala UI"/>
          <w:b/>
          <w:bCs/>
          <w:sz w:val="28"/>
          <w:szCs w:val="28"/>
          <w:u w:val="single"/>
        </w:rPr>
        <w:t xml:space="preserve">2.3 </w:t>
      </w:r>
      <w:r w:rsidR="00741300" w:rsidRPr="00741300">
        <w:rPr>
          <w:rFonts w:ascii="Nirmala UI" w:hAnsi="Nirmala UI" w:cs="Nirmala UI"/>
          <w:b/>
          <w:bCs/>
          <w:sz w:val="28"/>
          <w:szCs w:val="28"/>
          <w:u w:val="single"/>
        </w:rPr>
        <w:t xml:space="preserve">Ind AS 36, </w:t>
      </w:r>
      <w:r w:rsidR="00741300" w:rsidRPr="00741300">
        <w:rPr>
          <w:rFonts w:ascii="Nirmala UI" w:hAnsi="Nirmala UI" w:cs="Nirmala UI"/>
          <w:b/>
          <w:bCs/>
          <w:i/>
          <w:iCs/>
          <w:sz w:val="28"/>
          <w:szCs w:val="28"/>
          <w:u w:val="single"/>
        </w:rPr>
        <w:t>Impairment of Assets</w:t>
      </w:r>
    </w:p>
    <w:p w14:paraId="46B4805B" w14:textId="77777777" w:rsidR="00741300" w:rsidRDefault="00741300" w:rsidP="00741300">
      <w:pPr>
        <w:spacing w:after="0" w:line="360" w:lineRule="auto"/>
        <w:jc w:val="both"/>
        <w:rPr>
          <w:rFonts w:ascii="Nirmala UI" w:hAnsi="Nirmala UI" w:cs="Nirmala UI"/>
          <w:sz w:val="28"/>
          <w:szCs w:val="28"/>
        </w:rPr>
      </w:pPr>
    </w:p>
    <w:p w14:paraId="52727165" w14:textId="607013CD" w:rsidR="00741300" w:rsidRPr="00741300" w:rsidRDefault="00741300"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The period over which management has projected cash flows when calculating a unit’s (or group of units’) recoverable amount under Impairment of Assets to be reported. Detailed information about impairments and the reversal of impairments are also important. An explanation of every key assumption on which management has based its cash flow projections, and the period over which cash flows are projected is one of them are necessary.</w:t>
      </w:r>
    </w:p>
    <w:p w14:paraId="6BF88385" w14:textId="77777777" w:rsidR="00741300" w:rsidRPr="00741300" w:rsidRDefault="00741300" w:rsidP="00741300">
      <w:pPr>
        <w:spacing w:after="0" w:line="360" w:lineRule="auto"/>
        <w:jc w:val="both"/>
        <w:rPr>
          <w:rFonts w:ascii="Nirmala UI" w:hAnsi="Nirmala UI" w:cs="Nirmala UI"/>
          <w:sz w:val="28"/>
          <w:szCs w:val="28"/>
        </w:rPr>
      </w:pPr>
    </w:p>
    <w:p w14:paraId="62202C61" w14:textId="4AFE55AE" w:rsidR="00A54DB6" w:rsidRPr="00741300" w:rsidRDefault="00F14E2C" w:rsidP="00741300">
      <w:pPr>
        <w:spacing w:after="0" w:line="360" w:lineRule="auto"/>
        <w:jc w:val="both"/>
        <w:rPr>
          <w:rFonts w:ascii="Nirmala UI" w:hAnsi="Nirmala UI" w:cs="Nirmala UI"/>
          <w:b/>
          <w:bCs/>
          <w:i/>
          <w:iCs/>
          <w:sz w:val="28"/>
          <w:szCs w:val="28"/>
          <w:u w:val="single"/>
        </w:rPr>
      </w:pPr>
      <w:r>
        <w:rPr>
          <w:rFonts w:ascii="Nirmala UI" w:hAnsi="Nirmala UI" w:cs="Nirmala UI"/>
          <w:b/>
          <w:bCs/>
          <w:sz w:val="28"/>
          <w:szCs w:val="28"/>
          <w:u w:val="single"/>
        </w:rPr>
        <w:t xml:space="preserve">2.4 </w:t>
      </w:r>
      <w:r w:rsidR="00A54DB6" w:rsidRPr="00741300">
        <w:rPr>
          <w:rFonts w:ascii="Nirmala UI" w:hAnsi="Nirmala UI" w:cs="Nirmala UI"/>
          <w:b/>
          <w:bCs/>
          <w:sz w:val="28"/>
          <w:szCs w:val="28"/>
          <w:u w:val="single"/>
        </w:rPr>
        <w:t xml:space="preserve">Interaction with Ind AS 101, </w:t>
      </w:r>
      <w:r w:rsidR="00A54DB6" w:rsidRPr="00741300">
        <w:rPr>
          <w:rFonts w:ascii="Nirmala UI" w:hAnsi="Nirmala UI" w:cs="Nirmala UI"/>
          <w:b/>
          <w:bCs/>
          <w:i/>
          <w:iCs/>
          <w:sz w:val="28"/>
          <w:szCs w:val="28"/>
          <w:u w:val="single"/>
        </w:rPr>
        <w:t>First-time Adoption of Indian Accounting Standards</w:t>
      </w:r>
    </w:p>
    <w:p w14:paraId="27A2BE69" w14:textId="77777777" w:rsidR="00741300" w:rsidRDefault="00741300" w:rsidP="00741300">
      <w:pPr>
        <w:spacing w:after="0" w:line="360" w:lineRule="auto"/>
        <w:jc w:val="both"/>
        <w:rPr>
          <w:rFonts w:ascii="Nirmala UI" w:hAnsi="Nirmala UI" w:cs="Nirmala UI"/>
          <w:sz w:val="28"/>
          <w:szCs w:val="28"/>
        </w:rPr>
      </w:pPr>
    </w:p>
    <w:p w14:paraId="186B5A83" w14:textId="15ACF795" w:rsidR="00A54DB6" w:rsidRPr="00741300" w:rsidRDefault="00A54DB6"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This part may add-</w:t>
      </w:r>
    </w:p>
    <w:p w14:paraId="7193DB49" w14:textId="7CDE2C05" w:rsidR="00A54DB6"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2.4.1 </w:t>
      </w:r>
      <w:r w:rsidR="00A54DB6" w:rsidRPr="00741300">
        <w:rPr>
          <w:rFonts w:ascii="Nirmala UI" w:hAnsi="Nirmala UI" w:cs="Nirmala UI"/>
          <w:sz w:val="28"/>
          <w:szCs w:val="28"/>
        </w:rPr>
        <w:t>‘</w:t>
      </w:r>
      <w:r w:rsidR="00A54DB6" w:rsidRPr="00741300">
        <w:rPr>
          <w:rFonts w:ascii="Nirmala UI" w:hAnsi="Nirmala UI" w:cs="Nirmala UI"/>
          <w:sz w:val="28"/>
          <w:szCs w:val="28"/>
        </w:rPr>
        <w:t>If</w:t>
      </w:r>
      <w:r w:rsidR="00A54DB6" w:rsidRPr="00741300">
        <w:rPr>
          <w:rFonts w:ascii="Nirmala UI" w:hAnsi="Nirmala UI" w:cs="Nirmala UI"/>
          <w:sz w:val="28"/>
          <w:szCs w:val="28"/>
        </w:rPr>
        <w:t xml:space="preserve"> an entity presented a statement of cash flows under its previous GAAP, it shall also explain the material adjustments to the statement of cash flows’, because this information will be useful to users who focus on cash flows</w:t>
      </w:r>
      <w:r w:rsidR="00A54DB6" w:rsidRPr="00741300">
        <w:rPr>
          <w:rFonts w:ascii="Nirmala UI" w:hAnsi="Nirmala UI" w:cs="Nirmala UI"/>
          <w:sz w:val="28"/>
          <w:szCs w:val="28"/>
        </w:rPr>
        <w:t>.’</w:t>
      </w:r>
    </w:p>
    <w:p w14:paraId="37899DB2" w14:textId="77777777" w:rsidR="00741300" w:rsidRDefault="00741300" w:rsidP="00741300">
      <w:pPr>
        <w:spacing w:after="0" w:line="360" w:lineRule="auto"/>
        <w:jc w:val="both"/>
        <w:rPr>
          <w:rFonts w:ascii="Nirmala UI" w:hAnsi="Nirmala UI" w:cs="Nirmala UI"/>
          <w:sz w:val="28"/>
          <w:szCs w:val="28"/>
        </w:rPr>
      </w:pPr>
    </w:p>
    <w:p w14:paraId="7E7330D1" w14:textId="6ED06B57" w:rsidR="00A54DB6" w:rsidRP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lastRenderedPageBreak/>
        <w:t xml:space="preserve">2.4.2 </w:t>
      </w:r>
      <w:r w:rsidR="00A54DB6" w:rsidRPr="00741300">
        <w:rPr>
          <w:rFonts w:ascii="Nirmala UI" w:hAnsi="Nirmala UI" w:cs="Nirmala UI"/>
          <w:sz w:val="28"/>
          <w:szCs w:val="28"/>
        </w:rPr>
        <w:t xml:space="preserve">‘if an entity has classified any share-based payment transactions as equity-settled, the entity shall disclose an estimate of the amount that it expects to transfer to the tax authority to settle the employee’s tax obligation when it is necessary to inform users about the future cash flow effects associated with the share-based payment arrangement.’ </w:t>
      </w:r>
      <w:r w:rsidR="00A54DB6" w:rsidRPr="00741300">
        <w:rPr>
          <w:rFonts w:ascii="Nirmala UI" w:hAnsi="Nirmala UI" w:cs="Nirmala UI"/>
          <w:sz w:val="28"/>
          <w:szCs w:val="28"/>
        </w:rPr>
        <w:t>[Such</w:t>
      </w:r>
      <w:r w:rsidR="00A54DB6" w:rsidRPr="00741300">
        <w:rPr>
          <w:rFonts w:ascii="Nirmala UI" w:hAnsi="Nirmala UI" w:cs="Nirmala UI"/>
          <w:sz w:val="28"/>
          <w:szCs w:val="28"/>
        </w:rPr>
        <w:t xml:space="preserve"> disclosures </w:t>
      </w:r>
      <w:r w:rsidR="00A54DB6" w:rsidRPr="00741300">
        <w:rPr>
          <w:rFonts w:ascii="Nirmala UI" w:hAnsi="Nirmala UI" w:cs="Nirmala UI"/>
          <w:sz w:val="28"/>
          <w:szCs w:val="28"/>
        </w:rPr>
        <w:t xml:space="preserve">will </w:t>
      </w:r>
      <w:r w:rsidR="00A54DB6" w:rsidRPr="00741300">
        <w:rPr>
          <w:rFonts w:ascii="Nirmala UI" w:hAnsi="Nirmala UI" w:cs="Nirmala UI"/>
          <w:sz w:val="28"/>
          <w:szCs w:val="28"/>
        </w:rPr>
        <w:t>provide useful information on future cash flow effects associated with the share-based payment arrangement</w:t>
      </w:r>
      <w:r w:rsidR="00A54DB6" w:rsidRPr="00741300">
        <w:rPr>
          <w:rFonts w:ascii="Nirmala UI" w:hAnsi="Nirmala UI" w:cs="Nirmala UI"/>
          <w:sz w:val="28"/>
          <w:szCs w:val="28"/>
        </w:rPr>
        <w:t>].</w:t>
      </w:r>
    </w:p>
    <w:p w14:paraId="602FA3C6" w14:textId="77777777" w:rsidR="00A54DB6" w:rsidRPr="00741300" w:rsidRDefault="00A54DB6" w:rsidP="00741300">
      <w:pPr>
        <w:spacing w:after="0" w:line="360" w:lineRule="auto"/>
        <w:jc w:val="both"/>
        <w:rPr>
          <w:rFonts w:ascii="Nirmala UI" w:hAnsi="Nirmala UI" w:cs="Nirmala UI"/>
          <w:sz w:val="28"/>
          <w:szCs w:val="28"/>
        </w:rPr>
      </w:pPr>
    </w:p>
    <w:p w14:paraId="196E8857" w14:textId="57E20512" w:rsidR="00A54DB6" w:rsidRPr="00741300" w:rsidRDefault="00F14E2C" w:rsidP="00741300">
      <w:pPr>
        <w:spacing w:after="0" w:line="360" w:lineRule="auto"/>
        <w:jc w:val="both"/>
        <w:rPr>
          <w:rFonts w:ascii="Nirmala UI" w:hAnsi="Nirmala UI" w:cs="Nirmala UI"/>
          <w:b/>
          <w:bCs/>
          <w:sz w:val="28"/>
          <w:szCs w:val="28"/>
          <w:u w:val="single"/>
        </w:rPr>
      </w:pPr>
      <w:r>
        <w:rPr>
          <w:rFonts w:ascii="Nirmala UI" w:hAnsi="Nirmala UI" w:cs="Nirmala UI"/>
          <w:b/>
          <w:bCs/>
          <w:sz w:val="28"/>
          <w:szCs w:val="28"/>
          <w:u w:val="single"/>
        </w:rPr>
        <w:t xml:space="preserve">2.5 </w:t>
      </w:r>
      <w:r w:rsidR="00A54DB6" w:rsidRPr="00741300">
        <w:rPr>
          <w:rFonts w:ascii="Nirmala UI" w:hAnsi="Nirmala UI" w:cs="Nirmala UI"/>
          <w:b/>
          <w:bCs/>
          <w:sz w:val="28"/>
          <w:szCs w:val="28"/>
          <w:u w:val="single"/>
        </w:rPr>
        <w:t>Ind AS 103, Business Combinations</w:t>
      </w:r>
    </w:p>
    <w:p w14:paraId="2E326F94" w14:textId="77777777" w:rsidR="00741300" w:rsidRDefault="00741300" w:rsidP="00741300">
      <w:pPr>
        <w:spacing w:after="0" w:line="360" w:lineRule="auto"/>
        <w:jc w:val="both"/>
        <w:rPr>
          <w:rFonts w:ascii="Nirmala UI" w:hAnsi="Nirmala UI" w:cs="Nirmala UI"/>
          <w:sz w:val="28"/>
          <w:szCs w:val="28"/>
        </w:rPr>
      </w:pPr>
    </w:p>
    <w:p w14:paraId="02C196F1" w14:textId="35739546" w:rsidR="00A54DB6" w:rsidRPr="00741300" w:rsidRDefault="00A54DB6"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This part may add-</w:t>
      </w:r>
    </w:p>
    <w:p w14:paraId="490E54E3" w14:textId="77777777" w:rsidR="00587E7A" w:rsidRDefault="00587E7A" w:rsidP="00741300">
      <w:pPr>
        <w:spacing w:after="0" w:line="360" w:lineRule="auto"/>
        <w:jc w:val="both"/>
        <w:rPr>
          <w:rFonts w:ascii="Nirmala UI" w:hAnsi="Nirmala UI" w:cs="Nirmala UI"/>
          <w:sz w:val="28"/>
          <w:szCs w:val="28"/>
        </w:rPr>
      </w:pPr>
    </w:p>
    <w:p w14:paraId="535CFD9F" w14:textId="76289020" w:rsidR="00A54DB6" w:rsidRPr="00741300" w:rsidRDefault="00587E7A"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2.5.1 </w:t>
      </w:r>
      <w:r w:rsidR="00A54DB6" w:rsidRPr="00741300">
        <w:rPr>
          <w:rFonts w:ascii="Nirmala UI" w:hAnsi="Nirmala UI" w:cs="Nirmala UI"/>
          <w:sz w:val="28"/>
          <w:szCs w:val="28"/>
        </w:rPr>
        <w:t>‘I</w:t>
      </w:r>
      <w:r w:rsidR="00A54DB6" w:rsidRPr="00741300">
        <w:rPr>
          <w:rFonts w:ascii="Nirmala UI" w:hAnsi="Nirmala UI" w:cs="Nirmala UI"/>
          <w:sz w:val="28"/>
          <w:szCs w:val="28"/>
        </w:rPr>
        <w:t xml:space="preserve">f a business combination is not finalised at the end of the reporting period, the amounts recognised in the financial statements for the business combination </w:t>
      </w:r>
      <w:r w:rsidR="00E81D36" w:rsidRPr="00741300">
        <w:rPr>
          <w:rFonts w:ascii="Nirmala UI" w:hAnsi="Nirmala UI" w:cs="Nirmala UI"/>
          <w:sz w:val="28"/>
          <w:szCs w:val="28"/>
        </w:rPr>
        <w:t xml:space="preserve">it can be deemed as </w:t>
      </w:r>
      <w:r w:rsidR="00A54DB6" w:rsidRPr="00741300">
        <w:rPr>
          <w:rFonts w:ascii="Nirmala UI" w:hAnsi="Nirmala UI" w:cs="Nirmala UI"/>
          <w:sz w:val="28"/>
          <w:szCs w:val="28"/>
        </w:rPr>
        <w:t>determined provisionally</w:t>
      </w:r>
      <w:r w:rsidR="00E81D36" w:rsidRPr="00741300">
        <w:rPr>
          <w:rFonts w:ascii="Nirmala UI" w:hAnsi="Nirmala UI" w:cs="Nirmala UI"/>
          <w:sz w:val="28"/>
          <w:szCs w:val="28"/>
        </w:rPr>
        <w:t>.</w:t>
      </w:r>
      <w:r w:rsidR="00A54DB6" w:rsidRPr="00741300">
        <w:rPr>
          <w:rFonts w:ascii="Nirmala UI" w:hAnsi="Nirmala UI" w:cs="Nirmala UI"/>
          <w:sz w:val="28"/>
          <w:szCs w:val="28"/>
        </w:rPr>
        <w:t xml:space="preserve">  </w:t>
      </w:r>
      <w:r w:rsidR="00E81D36" w:rsidRPr="00741300">
        <w:rPr>
          <w:rFonts w:ascii="Nirmala UI" w:hAnsi="Nirmala UI" w:cs="Nirmala UI"/>
          <w:sz w:val="28"/>
          <w:szCs w:val="28"/>
        </w:rPr>
        <w:t>T</w:t>
      </w:r>
      <w:r w:rsidR="00A54DB6" w:rsidRPr="00741300">
        <w:rPr>
          <w:rFonts w:ascii="Nirmala UI" w:hAnsi="Nirmala UI" w:cs="Nirmala UI"/>
          <w:sz w:val="28"/>
          <w:szCs w:val="28"/>
        </w:rPr>
        <w:t>his information is important because there is measurement uncertainty</w:t>
      </w:r>
      <w:r w:rsidR="00E81D36" w:rsidRPr="00741300">
        <w:rPr>
          <w:rFonts w:ascii="Nirmala UI" w:hAnsi="Nirmala UI" w:cs="Nirmala UI"/>
          <w:sz w:val="28"/>
          <w:szCs w:val="28"/>
        </w:rPr>
        <w:t>.</w:t>
      </w:r>
      <w:r w:rsidR="00041FDC" w:rsidRPr="00741300">
        <w:rPr>
          <w:rFonts w:ascii="Nirmala UI" w:hAnsi="Nirmala UI" w:cs="Nirmala UI"/>
          <w:sz w:val="28"/>
          <w:szCs w:val="28"/>
        </w:rPr>
        <w:t>’</w:t>
      </w:r>
    </w:p>
    <w:p w14:paraId="7AD2F0BB" w14:textId="77777777" w:rsidR="00741300" w:rsidRDefault="00741300" w:rsidP="00741300">
      <w:pPr>
        <w:spacing w:after="0" w:line="360" w:lineRule="auto"/>
        <w:jc w:val="both"/>
        <w:rPr>
          <w:rFonts w:ascii="Nirmala UI" w:hAnsi="Nirmala UI" w:cs="Nirmala UI"/>
          <w:sz w:val="28"/>
          <w:szCs w:val="28"/>
        </w:rPr>
      </w:pPr>
    </w:p>
    <w:p w14:paraId="6F3BAD1F" w14:textId="30901C88" w:rsidR="00041FDC" w:rsidRPr="00741300" w:rsidRDefault="00587E7A" w:rsidP="00741300">
      <w:pPr>
        <w:spacing w:after="0" w:line="360" w:lineRule="auto"/>
        <w:jc w:val="both"/>
        <w:rPr>
          <w:rFonts w:ascii="Nirmala UI" w:hAnsi="Nirmala UI" w:cs="Nirmala UI"/>
          <w:sz w:val="28"/>
          <w:szCs w:val="28"/>
        </w:rPr>
      </w:pPr>
      <w:r>
        <w:rPr>
          <w:rFonts w:ascii="Nirmala UI" w:hAnsi="Nirmala UI" w:cs="Nirmala UI"/>
          <w:sz w:val="28"/>
          <w:szCs w:val="28"/>
        </w:rPr>
        <w:t xml:space="preserve">2.5.2 </w:t>
      </w:r>
      <w:r w:rsidR="00041FDC" w:rsidRPr="00741300">
        <w:rPr>
          <w:rFonts w:ascii="Nirmala UI" w:hAnsi="Nirmala UI" w:cs="Nirmala UI"/>
          <w:sz w:val="28"/>
          <w:szCs w:val="28"/>
        </w:rPr>
        <w:t>‘Where</w:t>
      </w:r>
      <w:r w:rsidR="00041FDC" w:rsidRPr="00741300">
        <w:rPr>
          <w:rFonts w:ascii="Nirmala UI" w:hAnsi="Nirmala UI" w:cs="Nirmala UI"/>
          <w:sz w:val="28"/>
          <w:szCs w:val="28"/>
        </w:rPr>
        <w:t xml:space="preserve"> a business combination </w:t>
      </w:r>
      <w:r w:rsidR="00041FDC" w:rsidRPr="00741300">
        <w:rPr>
          <w:rFonts w:ascii="Nirmala UI" w:hAnsi="Nirmala UI" w:cs="Nirmala UI"/>
          <w:sz w:val="28"/>
          <w:szCs w:val="28"/>
        </w:rPr>
        <w:t xml:space="preserve">is </w:t>
      </w:r>
      <w:r w:rsidR="00041FDC" w:rsidRPr="00741300">
        <w:rPr>
          <w:rFonts w:ascii="Nirmala UI" w:hAnsi="Nirmala UI" w:cs="Nirmala UI"/>
          <w:sz w:val="28"/>
          <w:szCs w:val="28"/>
        </w:rPr>
        <w:t>achieved in stages, the information about the amount of any gain or loss recognised as a result of remeasuring to fair value the equity interest in the acquiree held by the acquirer before the business combination</w:t>
      </w:r>
      <w:r w:rsidR="00041FDC" w:rsidRPr="00741300">
        <w:rPr>
          <w:rFonts w:ascii="Nirmala UI" w:hAnsi="Nirmala UI" w:cs="Nirmala UI"/>
          <w:sz w:val="28"/>
          <w:szCs w:val="28"/>
        </w:rPr>
        <w:t xml:space="preserve"> to be stated.</w:t>
      </w:r>
      <w:r w:rsidR="00741300">
        <w:rPr>
          <w:rFonts w:ascii="Nirmala UI" w:hAnsi="Nirmala UI" w:cs="Nirmala UI"/>
          <w:sz w:val="28"/>
          <w:szCs w:val="28"/>
        </w:rPr>
        <w:t>’</w:t>
      </w:r>
    </w:p>
    <w:p w14:paraId="1EB993F6" w14:textId="77777777" w:rsidR="00041FDC" w:rsidRPr="00741300" w:rsidRDefault="00041FDC" w:rsidP="00741300">
      <w:pPr>
        <w:spacing w:after="0" w:line="360" w:lineRule="auto"/>
        <w:jc w:val="both"/>
        <w:rPr>
          <w:rFonts w:ascii="Nirmala UI" w:hAnsi="Nirmala UI" w:cs="Nirmala UI"/>
          <w:sz w:val="28"/>
          <w:szCs w:val="28"/>
        </w:rPr>
      </w:pPr>
    </w:p>
    <w:p w14:paraId="2892CB12" w14:textId="70B10B3B" w:rsidR="00041FDC" w:rsidRPr="00741300" w:rsidRDefault="00F14E2C" w:rsidP="00741300">
      <w:pPr>
        <w:spacing w:after="0" w:line="360" w:lineRule="auto"/>
        <w:jc w:val="both"/>
        <w:rPr>
          <w:rFonts w:ascii="Nirmala UI" w:hAnsi="Nirmala UI" w:cs="Nirmala UI"/>
          <w:b/>
          <w:bCs/>
          <w:sz w:val="28"/>
          <w:szCs w:val="28"/>
          <w:u w:val="single"/>
        </w:rPr>
      </w:pPr>
      <w:r>
        <w:rPr>
          <w:rFonts w:ascii="Nirmala UI" w:hAnsi="Nirmala UI" w:cs="Nirmala UI"/>
          <w:b/>
          <w:bCs/>
          <w:sz w:val="28"/>
          <w:szCs w:val="28"/>
          <w:u w:val="single"/>
        </w:rPr>
        <w:t xml:space="preserve">2.6 </w:t>
      </w:r>
      <w:r w:rsidR="00041FDC" w:rsidRPr="00741300">
        <w:rPr>
          <w:rFonts w:ascii="Nirmala UI" w:hAnsi="Nirmala UI" w:cs="Nirmala UI"/>
          <w:b/>
          <w:bCs/>
          <w:sz w:val="28"/>
          <w:szCs w:val="28"/>
          <w:u w:val="single"/>
        </w:rPr>
        <w:t>Ind AS 106, Exploration for and Evaluation of Mineral Resources</w:t>
      </w:r>
    </w:p>
    <w:p w14:paraId="4B0AF81B" w14:textId="77777777" w:rsidR="00587E7A" w:rsidRDefault="00587E7A" w:rsidP="00741300">
      <w:pPr>
        <w:spacing w:after="0" w:line="360" w:lineRule="auto"/>
        <w:jc w:val="both"/>
        <w:rPr>
          <w:rFonts w:ascii="Nirmala UI" w:hAnsi="Nirmala UI" w:cs="Nirmala UI"/>
          <w:sz w:val="28"/>
          <w:szCs w:val="28"/>
        </w:rPr>
      </w:pPr>
    </w:p>
    <w:p w14:paraId="6396FAFC" w14:textId="23A34E99" w:rsidR="00741300" w:rsidRDefault="00F14E2C" w:rsidP="00741300">
      <w:pPr>
        <w:spacing w:after="0" w:line="360" w:lineRule="auto"/>
        <w:jc w:val="both"/>
        <w:rPr>
          <w:rFonts w:ascii="Nirmala UI" w:hAnsi="Nirmala UI" w:cs="Nirmala UI"/>
          <w:sz w:val="28"/>
          <w:szCs w:val="28"/>
        </w:rPr>
      </w:pPr>
      <w:r>
        <w:rPr>
          <w:rFonts w:ascii="Nirmala UI" w:hAnsi="Nirmala UI" w:cs="Nirmala UI"/>
          <w:sz w:val="28"/>
          <w:szCs w:val="28"/>
        </w:rPr>
        <w:t>This part may add-</w:t>
      </w:r>
    </w:p>
    <w:p w14:paraId="00E16520" w14:textId="77777777" w:rsidR="00587E7A" w:rsidRDefault="00587E7A" w:rsidP="00741300">
      <w:pPr>
        <w:spacing w:after="0" w:line="360" w:lineRule="auto"/>
        <w:jc w:val="both"/>
        <w:rPr>
          <w:rFonts w:ascii="Nirmala UI" w:hAnsi="Nirmala UI" w:cs="Nirmala UI"/>
          <w:sz w:val="28"/>
          <w:szCs w:val="28"/>
        </w:rPr>
      </w:pPr>
    </w:p>
    <w:p w14:paraId="2E0D9377" w14:textId="7EDD0A4F" w:rsidR="00041FDC" w:rsidRPr="00741300" w:rsidRDefault="00554B40"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 xml:space="preserve">To focus on </w:t>
      </w:r>
      <w:r w:rsidRPr="00741300">
        <w:rPr>
          <w:rFonts w:ascii="Nirmala UI" w:hAnsi="Nirmala UI" w:cs="Nirmala UI"/>
          <w:sz w:val="28"/>
          <w:szCs w:val="28"/>
        </w:rPr>
        <w:t>disclosing information that identifies and explains the amounts recognised in the financial statements arising from the exploration and evaluation of mineral resources</w:t>
      </w:r>
      <w:r w:rsidRPr="00741300">
        <w:rPr>
          <w:rFonts w:ascii="Nirmala UI" w:hAnsi="Nirmala UI" w:cs="Nirmala UI"/>
          <w:sz w:val="28"/>
          <w:szCs w:val="28"/>
        </w:rPr>
        <w:t>, though,</w:t>
      </w:r>
      <w:r w:rsidRPr="00741300">
        <w:rPr>
          <w:rFonts w:ascii="Nirmala UI" w:hAnsi="Nirmala UI" w:cs="Nirmala UI"/>
          <w:sz w:val="28"/>
          <w:szCs w:val="28"/>
        </w:rPr>
        <w:t xml:space="preserve"> it would be difficult to include industry-specific guidance while at the same time keeping it user friendly for ‘simple SMEs</w:t>
      </w:r>
      <w:r w:rsidR="0035095B" w:rsidRPr="00741300">
        <w:rPr>
          <w:rFonts w:ascii="Nirmala UI" w:hAnsi="Nirmala UI" w:cs="Nirmala UI"/>
          <w:sz w:val="28"/>
          <w:szCs w:val="28"/>
        </w:rPr>
        <w:t>/MSMEs</w:t>
      </w:r>
      <w:r w:rsidRPr="00741300">
        <w:rPr>
          <w:rFonts w:ascii="Nirmala UI" w:hAnsi="Nirmala UI" w:cs="Nirmala UI"/>
          <w:sz w:val="28"/>
          <w:szCs w:val="28"/>
        </w:rPr>
        <w:t>’</w:t>
      </w:r>
      <w:r w:rsidRPr="00741300">
        <w:rPr>
          <w:rFonts w:ascii="Nirmala UI" w:hAnsi="Nirmala UI" w:cs="Nirmala UI"/>
          <w:sz w:val="28"/>
          <w:szCs w:val="28"/>
        </w:rPr>
        <w:t>.</w:t>
      </w:r>
    </w:p>
    <w:p w14:paraId="64E0BDE4" w14:textId="77777777" w:rsidR="00741300" w:rsidRDefault="00741300" w:rsidP="00741300">
      <w:pPr>
        <w:spacing w:after="0" w:line="360" w:lineRule="auto"/>
        <w:jc w:val="both"/>
        <w:rPr>
          <w:rFonts w:ascii="Nirmala UI" w:hAnsi="Nirmala UI" w:cs="Nirmala UI"/>
          <w:b/>
          <w:bCs/>
          <w:sz w:val="28"/>
          <w:szCs w:val="28"/>
          <w:u w:val="single"/>
        </w:rPr>
      </w:pPr>
    </w:p>
    <w:p w14:paraId="6E86E891" w14:textId="10B49614" w:rsidR="0035095B" w:rsidRPr="00741300" w:rsidRDefault="00F14E2C" w:rsidP="00741300">
      <w:pPr>
        <w:spacing w:after="0" w:line="360" w:lineRule="auto"/>
        <w:jc w:val="both"/>
        <w:rPr>
          <w:rFonts w:ascii="Nirmala UI" w:hAnsi="Nirmala UI" w:cs="Nirmala UI"/>
          <w:b/>
          <w:bCs/>
          <w:sz w:val="28"/>
          <w:szCs w:val="28"/>
          <w:u w:val="single"/>
        </w:rPr>
      </w:pPr>
      <w:r>
        <w:rPr>
          <w:rFonts w:ascii="Nirmala UI" w:hAnsi="Nirmala UI" w:cs="Nirmala UI"/>
          <w:b/>
          <w:bCs/>
          <w:sz w:val="28"/>
          <w:szCs w:val="28"/>
          <w:u w:val="single"/>
        </w:rPr>
        <w:t xml:space="preserve">2.7 </w:t>
      </w:r>
      <w:r w:rsidR="0035095B" w:rsidRPr="00741300">
        <w:rPr>
          <w:rFonts w:ascii="Nirmala UI" w:hAnsi="Nirmala UI" w:cs="Nirmala UI"/>
          <w:b/>
          <w:bCs/>
          <w:sz w:val="28"/>
          <w:szCs w:val="28"/>
          <w:u w:val="single"/>
        </w:rPr>
        <w:t>Ind AS 107, Financial Instruments: Disclosures</w:t>
      </w:r>
    </w:p>
    <w:p w14:paraId="368A734F" w14:textId="77777777" w:rsidR="009A2046" w:rsidRDefault="009A2046" w:rsidP="00741300">
      <w:pPr>
        <w:spacing w:after="0" w:line="360" w:lineRule="auto"/>
        <w:jc w:val="both"/>
        <w:rPr>
          <w:rFonts w:ascii="Nirmala UI" w:hAnsi="Nirmala UI" w:cs="Nirmala UI"/>
          <w:sz w:val="28"/>
          <w:szCs w:val="28"/>
        </w:rPr>
      </w:pPr>
    </w:p>
    <w:p w14:paraId="2BFBB0A7" w14:textId="5D3788DD" w:rsidR="0035095B" w:rsidRPr="00506FD9" w:rsidRDefault="00506FD9" w:rsidP="00741300">
      <w:pPr>
        <w:spacing w:after="0" w:line="360" w:lineRule="auto"/>
        <w:jc w:val="both"/>
        <w:rPr>
          <w:rFonts w:ascii="Nirmala UI" w:hAnsi="Nirmala UI" w:cs="Nirmala UI"/>
          <w:sz w:val="28"/>
          <w:szCs w:val="28"/>
        </w:rPr>
      </w:pPr>
      <w:r w:rsidRPr="00506FD9">
        <w:rPr>
          <w:rFonts w:ascii="Nirmala UI" w:hAnsi="Nirmala UI" w:cs="Nirmala UI"/>
          <w:sz w:val="28"/>
          <w:szCs w:val="28"/>
        </w:rPr>
        <w:t>The possible mis-applications are-</w:t>
      </w:r>
    </w:p>
    <w:p w14:paraId="6FBB8A02" w14:textId="77777777" w:rsidR="009A2046" w:rsidRDefault="009A2046" w:rsidP="00506FD9">
      <w:pPr>
        <w:spacing w:after="0" w:line="360" w:lineRule="auto"/>
        <w:jc w:val="both"/>
        <w:rPr>
          <w:rFonts w:ascii="Nirmala UI" w:hAnsi="Nirmala UI" w:cs="Nirmala UI"/>
          <w:sz w:val="28"/>
          <w:szCs w:val="28"/>
        </w:rPr>
      </w:pPr>
    </w:p>
    <w:p w14:paraId="41F990B8" w14:textId="445AA471"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2.7.1 </w:t>
      </w:r>
      <w:r w:rsidR="00506FD9" w:rsidRPr="00506FD9">
        <w:rPr>
          <w:rFonts w:ascii="Nirmala UI" w:hAnsi="Nirmala UI" w:cs="Nirmala UI"/>
          <w:sz w:val="28"/>
          <w:szCs w:val="28"/>
        </w:rPr>
        <w:t xml:space="preserve">Intercompany receivables and payables from different group entities being presented net - typically, an entity would not have a legally enforceable right to set off amount receivable / payable from different legal entities so the offsetting criteria are not met. However, amounts due to/from one legal entity could meet the offsetting criteria, and if </w:t>
      </w:r>
      <w:r w:rsidRPr="00506FD9">
        <w:rPr>
          <w:rFonts w:ascii="Nirmala UI" w:hAnsi="Nirmala UI" w:cs="Nirmala UI"/>
          <w:sz w:val="28"/>
          <w:szCs w:val="28"/>
        </w:rPr>
        <w:t>so,</w:t>
      </w:r>
      <w:r w:rsidR="00506FD9" w:rsidRPr="00506FD9">
        <w:rPr>
          <w:rFonts w:ascii="Nirmala UI" w:hAnsi="Nirmala UI" w:cs="Nirmala UI"/>
          <w:sz w:val="28"/>
          <w:szCs w:val="28"/>
        </w:rPr>
        <w:t xml:space="preserve"> should be presented net.</w:t>
      </w:r>
    </w:p>
    <w:p w14:paraId="6F817CDA" w14:textId="77777777" w:rsidR="00506FD9" w:rsidRPr="00506FD9" w:rsidRDefault="00506FD9" w:rsidP="00506FD9">
      <w:pPr>
        <w:spacing w:after="0" w:line="360" w:lineRule="auto"/>
        <w:jc w:val="both"/>
        <w:rPr>
          <w:rFonts w:ascii="Nirmala UI" w:hAnsi="Nirmala UI" w:cs="Nirmala UI"/>
          <w:sz w:val="28"/>
          <w:szCs w:val="28"/>
        </w:rPr>
      </w:pPr>
    </w:p>
    <w:p w14:paraId="1E31AF20" w14:textId="55D8863D" w:rsidR="00506FD9" w:rsidRP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2.7.2 </w:t>
      </w:r>
      <w:r w:rsidR="00506FD9" w:rsidRPr="00506FD9">
        <w:rPr>
          <w:rFonts w:ascii="Nirmala UI" w:hAnsi="Nirmala UI" w:cs="Nirmala UI"/>
          <w:sz w:val="28"/>
          <w:szCs w:val="28"/>
        </w:rPr>
        <w:t>Cash pooling arrangements within corporate groups.</w:t>
      </w:r>
    </w:p>
    <w:p w14:paraId="6B82336B" w14:textId="77777777" w:rsidR="00506FD9" w:rsidRDefault="00506FD9" w:rsidP="00506FD9">
      <w:pPr>
        <w:spacing w:after="0" w:line="360" w:lineRule="auto"/>
        <w:jc w:val="both"/>
        <w:rPr>
          <w:rFonts w:ascii="Nirmala UI" w:hAnsi="Nirmala UI" w:cs="Nirmala UI"/>
          <w:sz w:val="28"/>
          <w:szCs w:val="28"/>
        </w:rPr>
      </w:pPr>
    </w:p>
    <w:p w14:paraId="542EDFC4" w14:textId="50B5C59B"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2.7.3 </w:t>
      </w:r>
      <w:r w:rsidR="00506FD9" w:rsidRPr="00506FD9">
        <w:rPr>
          <w:rFonts w:ascii="Nirmala UI" w:hAnsi="Nirmala UI" w:cs="Nirmala UI"/>
          <w:sz w:val="28"/>
          <w:szCs w:val="28"/>
        </w:rPr>
        <w:t>Cash margin payments recognised as either collateral or repayments of the outstanding derivative contract, and/or netting of cash flows on derivatives where there is no legal right to do so.</w:t>
      </w:r>
    </w:p>
    <w:p w14:paraId="05A2A467" w14:textId="77777777" w:rsidR="00506FD9" w:rsidRDefault="00506FD9" w:rsidP="00506FD9">
      <w:pPr>
        <w:spacing w:after="0" w:line="360" w:lineRule="auto"/>
        <w:jc w:val="both"/>
        <w:rPr>
          <w:rFonts w:ascii="Nirmala UI" w:hAnsi="Nirmala UI" w:cs="Nirmala UI"/>
          <w:sz w:val="28"/>
          <w:szCs w:val="28"/>
        </w:rPr>
      </w:pPr>
    </w:p>
    <w:p w14:paraId="7887E6BE" w14:textId="1AC58F9A"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lastRenderedPageBreak/>
        <w:t xml:space="preserve">2.7.4 </w:t>
      </w:r>
      <w:r w:rsidR="00506FD9">
        <w:rPr>
          <w:rFonts w:ascii="Nirmala UI" w:hAnsi="Nirmala UI" w:cs="Nirmala UI"/>
          <w:sz w:val="28"/>
          <w:szCs w:val="28"/>
        </w:rPr>
        <w:t xml:space="preserve">Some of the common issues relating to </w:t>
      </w:r>
      <w:r w:rsidR="00506FD9" w:rsidRPr="00506FD9">
        <w:rPr>
          <w:rFonts w:ascii="Nirmala UI" w:hAnsi="Nirmala UI" w:cs="Nirmala UI"/>
          <w:sz w:val="28"/>
          <w:szCs w:val="28"/>
        </w:rPr>
        <w:t>Inclusion of non-financial instruments</w:t>
      </w:r>
      <w:r w:rsidR="00506FD9">
        <w:rPr>
          <w:rFonts w:ascii="Nirmala UI" w:hAnsi="Nirmala UI" w:cs="Nirmala UI"/>
          <w:sz w:val="28"/>
          <w:szCs w:val="28"/>
        </w:rPr>
        <w:t xml:space="preserve"> are-</w:t>
      </w:r>
    </w:p>
    <w:p w14:paraId="4B569505" w14:textId="77777777" w:rsidR="00506FD9" w:rsidRDefault="00506FD9" w:rsidP="00506FD9">
      <w:pPr>
        <w:spacing w:after="0" w:line="360" w:lineRule="auto"/>
        <w:jc w:val="both"/>
        <w:rPr>
          <w:rFonts w:ascii="Nirmala UI" w:hAnsi="Nirmala UI" w:cs="Nirmala UI"/>
          <w:sz w:val="28"/>
          <w:szCs w:val="28"/>
        </w:rPr>
      </w:pPr>
    </w:p>
    <w:p w14:paraId="4F90D37A" w14:textId="5D611094"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2.7.4.1 </w:t>
      </w:r>
      <w:r w:rsidR="00506FD9" w:rsidRPr="00506FD9">
        <w:rPr>
          <w:rFonts w:ascii="Nirmala UI" w:hAnsi="Nirmala UI" w:cs="Nirmala UI"/>
          <w:sz w:val="28"/>
          <w:szCs w:val="28"/>
        </w:rPr>
        <w:t>Prepayments (which do not give rise to a right to receive cash or other financial assets).</w:t>
      </w:r>
    </w:p>
    <w:p w14:paraId="43375636" w14:textId="77777777" w:rsidR="00506FD9" w:rsidRPr="00506FD9" w:rsidRDefault="00506FD9" w:rsidP="00506FD9">
      <w:pPr>
        <w:spacing w:after="0" w:line="360" w:lineRule="auto"/>
        <w:jc w:val="both"/>
        <w:rPr>
          <w:rFonts w:ascii="Nirmala UI" w:hAnsi="Nirmala UI" w:cs="Nirmala UI"/>
          <w:sz w:val="28"/>
          <w:szCs w:val="28"/>
        </w:rPr>
      </w:pPr>
    </w:p>
    <w:p w14:paraId="020DD42E" w14:textId="351D3E45"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2.7.4.2 </w:t>
      </w:r>
      <w:r w:rsidR="00506FD9" w:rsidRPr="00506FD9">
        <w:rPr>
          <w:rFonts w:ascii="Nirmala UI" w:hAnsi="Nirmala UI" w:cs="Nirmala UI"/>
          <w:sz w:val="28"/>
          <w:szCs w:val="28"/>
        </w:rPr>
        <w:t>Current or deferred taxes (which arise from statute, not from contractual rights or obligations).</w:t>
      </w:r>
    </w:p>
    <w:p w14:paraId="57E0B3A4" w14:textId="77777777" w:rsidR="00506FD9" w:rsidRPr="00506FD9" w:rsidRDefault="00506FD9" w:rsidP="00506FD9">
      <w:pPr>
        <w:spacing w:after="0" w:line="360" w:lineRule="auto"/>
        <w:jc w:val="both"/>
        <w:rPr>
          <w:rFonts w:ascii="Nirmala UI" w:hAnsi="Nirmala UI" w:cs="Nirmala UI"/>
          <w:sz w:val="28"/>
          <w:szCs w:val="28"/>
        </w:rPr>
      </w:pPr>
    </w:p>
    <w:p w14:paraId="7FAFC48A" w14:textId="676A3529"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2.7.4.3 </w:t>
      </w:r>
      <w:r w:rsidR="00506FD9" w:rsidRPr="00506FD9">
        <w:rPr>
          <w:rFonts w:ascii="Nirmala UI" w:hAnsi="Nirmala UI" w:cs="Nirmala UI"/>
          <w:sz w:val="28"/>
          <w:szCs w:val="28"/>
        </w:rPr>
        <w:t>Constructive obligations giving rise to provisions (which do not arise from contractual rights or obligations).</w:t>
      </w:r>
    </w:p>
    <w:p w14:paraId="317AF432" w14:textId="77777777" w:rsidR="00506FD9" w:rsidRDefault="00506FD9" w:rsidP="00506FD9">
      <w:pPr>
        <w:spacing w:after="0" w:line="360" w:lineRule="auto"/>
        <w:jc w:val="both"/>
        <w:rPr>
          <w:rFonts w:ascii="Nirmala UI" w:hAnsi="Nirmala UI" w:cs="Nirmala UI"/>
          <w:sz w:val="28"/>
          <w:szCs w:val="28"/>
        </w:rPr>
      </w:pPr>
    </w:p>
    <w:p w14:paraId="218AAB69" w14:textId="391B879B"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2.7.5 </w:t>
      </w:r>
      <w:r w:rsidR="00506FD9">
        <w:rPr>
          <w:rFonts w:ascii="Nirmala UI" w:hAnsi="Nirmala UI" w:cs="Nirmala UI"/>
          <w:sz w:val="28"/>
          <w:szCs w:val="28"/>
        </w:rPr>
        <w:t xml:space="preserve">With reference to </w:t>
      </w:r>
      <w:r w:rsidR="00506FD9" w:rsidRPr="00506FD9">
        <w:rPr>
          <w:rFonts w:ascii="Nirmala UI" w:hAnsi="Nirmala UI" w:cs="Nirmala UI"/>
          <w:sz w:val="28"/>
          <w:szCs w:val="28"/>
        </w:rPr>
        <w:t>Credit risk rating disclosures</w:t>
      </w:r>
      <w:r w:rsidR="00506FD9">
        <w:rPr>
          <w:rFonts w:ascii="Nirmala UI" w:hAnsi="Nirmala UI" w:cs="Nirmala UI"/>
          <w:sz w:val="28"/>
          <w:szCs w:val="28"/>
        </w:rPr>
        <w:t xml:space="preserve"> the common issues are-</w:t>
      </w:r>
    </w:p>
    <w:p w14:paraId="346806BC" w14:textId="77777777" w:rsidR="009A2046" w:rsidRDefault="009A2046" w:rsidP="00506FD9">
      <w:pPr>
        <w:spacing w:after="0" w:line="360" w:lineRule="auto"/>
        <w:jc w:val="both"/>
        <w:rPr>
          <w:rFonts w:ascii="Nirmala UI" w:hAnsi="Nirmala UI" w:cs="Nirmala UI"/>
          <w:sz w:val="28"/>
          <w:szCs w:val="28"/>
        </w:rPr>
      </w:pPr>
    </w:p>
    <w:p w14:paraId="1D9BB5EF" w14:textId="4E48635D" w:rsidR="00506FD9" w:rsidRPr="00506FD9" w:rsidRDefault="00506FD9" w:rsidP="00506FD9">
      <w:pPr>
        <w:spacing w:after="0" w:line="360" w:lineRule="auto"/>
        <w:jc w:val="both"/>
        <w:rPr>
          <w:rFonts w:ascii="Nirmala UI" w:hAnsi="Nirmala UI" w:cs="Nirmala UI"/>
          <w:sz w:val="28"/>
          <w:szCs w:val="28"/>
        </w:rPr>
      </w:pPr>
      <w:r w:rsidRPr="00506FD9">
        <w:rPr>
          <w:rFonts w:ascii="Nirmala UI" w:hAnsi="Nirmala UI" w:cs="Nirmala UI"/>
          <w:sz w:val="28"/>
          <w:szCs w:val="28"/>
        </w:rPr>
        <w:t>Missing disclosures such as:</w:t>
      </w:r>
    </w:p>
    <w:p w14:paraId="3D2DFB6F" w14:textId="77777777" w:rsidR="00506FD9" w:rsidRDefault="00506FD9" w:rsidP="00506FD9">
      <w:pPr>
        <w:spacing w:after="0" w:line="360" w:lineRule="auto"/>
        <w:jc w:val="both"/>
        <w:rPr>
          <w:rFonts w:ascii="Nirmala UI" w:hAnsi="Nirmala UI" w:cs="Nirmala UI"/>
          <w:sz w:val="28"/>
          <w:szCs w:val="28"/>
        </w:rPr>
      </w:pPr>
    </w:p>
    <w:p w14:paraId="799F55B5" w14:textId="4656AFDD" w:rsidR="00506FD9" w:rsidRPr="00506FD9" w:rsidRDefault="009A2046" w:rsidP="00506FD9">
      <w:pPr>
        <w:spacing w:after="0" w:line="360" w:lineRule="auto"/>
        <w:jc w:val="both"/>
        <w:rPr>
          <w:rFonts w:ascii="Nirmala UI" w:hAnsi="Nirmala UI" w:cs="Nirmala UI"/>
          <w:sz w:val="28"/>
          <w:szCs w:val="28"/>
        </w:rPr>
      </w:pPr>
      <w:r w:rsidRPr="009A2046">
        <w:rPr>
          <w:rFonts w:ascii="Nirmala UI" w:hAnsi="Nirmala UI" w:cs="Nirmala UI"/>
          <w:sz w:val="28"/>
          <w:szCs w:val="28"/>
        </w:rPr>
        <w:t xml:space="preserve">2.7.5.1 </w:t>
      </w:r>
      <w:r w:rsidR="00506FD9">
        <w:rPr>
          <w:rFonts w:ascii="Nirmala UI" w:hAnsi="Nirmala UI" w:cs="Nirmala UI"/>
          <w:sz w:val="28"/>
          <w:szCs w:val="28"/>
        </w:rPr>
        <w:t>T</w:t>
      </w:r>
      <w:r w:rsidR="00506FD9" w:rsidRPr="00506FD9">
        <w:rPr>
          <w:rFonts w:ascii="Nirmala UI" w:hAnsi="Nirmala UI" w:cs="Nirmala UI"/>
          <w:sz w:val="28"/>
          <w:szCs w:val="28"/>
        </w:rPr>
        <w:t xml:space="preserve">he inputs, assumptions and estimation techniques used to apply </w:t>
      </w:r>
      <w:r w:rsidR="00506FD9" w:rsidRPr="00506FD9">
        <w:rPr>
          <w:rFonts w:ascii="Nirmala UI" w:hAnsi="Nirmala UI" w:cs="Nirmala UI"/>
          <w:sz w:val="28"/>
          <w:szCs w:val="28"/>
        </w:rPr>
        <w:t xml:space="preserve">the </w:t>
      </w:r>
      <w:r>
        <w:rPr>
          <w:rFonts w:ascii="Nirmala UI" w:hAnsi="Nirmala UI" w:cs="Nirmala UI"/>
          <w:sz w:val="28"/>
          <w:szCs w:val="28"/>
        </w:rPr>
        <w:t>accounting</w:t>
      </w:r>
      <w:r w:rsidR="00506FD9">
        <w:rPr>
          <w:rFonts w:ascii="Nirmala UI" w:hAnsi="Nirmala UI" w:cs="Nirmala UI"/>
          <w:sz w:val="28"/>
          <w:szCs w:val="28"/>
        </w:rPr>
        <w:t xml:space="preserve"> standard for </w:t>
      </w:r>
      <w:r w:rsidR="00506FD9" w:rsidRPr="00506FD9">
        <w:rPr>
          <w:rFonts w:ascii="Nirmala UI" w:hAnsi="Nirmala UI" w:cs="Nirmala UI"/>
          <w:sz w:val="28"/>
          <w:szCs w:val="28"/>
        </w:rPr>
        <w:t>impairment</w:t>
      </w:r>
      <w:r w:rsidR="00506FD9" w:rsidRPr="00506FD9">
        <w:rPr>
          <w:rFonts w:ascii="Nirmala UI" w:hAnsi="Nirmala UI" w:cs="Nirmala UI"/>
          <w:sz w:val="28"/>
          <w:szCs w:val="28"/>
        </w:rPr>
        <w:t xml:space="preserve"> requirements;</w:t>
      </w:r>
      <w:r w:rsidR="00506FD9">
        <w:rPr>
          <w:rFonts w:ascii="Nirmala UI" w:hAnsi="Nirmala UI" w:cs="Nirmala UI"/>
          <w:sz w:val="28"/>
          <w:szCs w:val="28"/>
        </w:rPr>
        <w:t xml:space="preserve"> </w:t>
      </w:r>
      <w:r w:rsidR="00506FD9" w:rsidRPr="00506FD9">
        <w:rPr>
          <w:rFonts w:ascii="Nirmala UI" w:hAnsi="Nirmala UI" w:cs="Nirmala UI"/>
          <w:sz w:val="28"/>
          <w:szCs w:val="28"/>
        </w:rPr>
        <w:t>and</w:t>
      </w:r>
    </w:p>
    <w:p w14:paraId="751A7FC3" w14:textId="77777777" w:rsidR="00506FD9" w:rsidRDefault="00506FD9" w:rsidP="00506FD9">
      <w:pPr>
        <w:spacing w:after="0" w:line="360" w:lineRule="auto"/>
        <w:jc w:val="both"/>
        <w:rPr>
          <w:rFonts w:ascii="Nirmala UI" w:hAnsi="Nirmala UI" w:cs="Nirmala UI"/>
          <w:sz w:val="28"/>
          <w:szCs w:val="28"/>
        </w:rPr>
      </w:pPr>
    </w:p>
    <w:p w14:paraId="64C8279F" w14:textId="28203E11" w:rsidR="00506FD9" w:rsidRDefault="009A2046" w:rsidP="00506FD9">
      <w:pPr>
        <w:spacing w:after="0" w:line="360" w:lineRule="auto"/>
        <w:jc w:val="both"/>
        <w:rPr>
          <w:rFonts w:ascii="Nirmala UI" w:hAnsi="Nirmala UI" w:cs="Nirmala UI"/>
          <w:sz w:val="28"/>
          <w:szCs w:val="28"/>
        </w:rPr>
      </w:pPr>
      <w:r>
        <w:rPr>
          <w:rFonts w:ascii="Nirmala UI" w:hAnsi="Nirmala UI" w:cs="Nirmala UI"/>
          <w:sz w:val="28"/>
          <w:szCs w:val="28"/>
        </w:rPr>
        <w:t xml:space="preserve">2.7.5.2 </w:t>
      </w:r>
      <w:r w:rsidR="00506FD9">
        <w:rPr>
          <w:rFonts w:ascii="Nirmala UI" w:hAnsi="Nirmala UI" w:cs="Nirmala UI"/>
          <w:sz w:val="28"/>
          <w:szCs w:val="28"/>
        </w:rPr>
        <w:t>I</w:t>
      </w:r>
      <w:r w:rsidR="00506FD9" w:rsidRPr="00506FD9">
        <w:rPr>
          <w:rFonts w:ascii="Nirmala UI" w:hAnsi="Nirmala UI" w:cs="Nirmala UI"/>
          <w:sz w:val="28"/>
          <w:szCs w:val="28"/>
        </w:rPr>
        <w:t>nformation about credit risk management practices, including the company’s definitions of default and the basis for selecting those definitions.</w:t>
      </w:r>
    </w:p>
    <w:p w14:paraId="07369BB4" w14:textId="77777777" w:rsidR="009A2046" w:rsidRDefault="009A2046" w:rsidP="00506FD9">
      <w:pPr>
        <w:spacing w:after="0" w:line="360" w:lineRule="auto"/>
        <w:jc w:val="both"/>
        <w:rPr>
          <w:rFonts w:ascii="Nirmala UI" w:hAnsi="Nirmala UI" w:cs="Nirmala UI"/>
          <w:sz w:val="28"/>
          <w:szCs w:val="28"/>
        </w:rPr>
      </w:pPr>
    </w:p>
    <w:p w14:paraId="09E1F525" w14:textId="5E1005CC" w:rsidR="009A2046" w:rsidRDefault="009A2046" w:rsidP="009A2046">
      <w:pPr>
        <w:spacing w:after="0" w:line="360" w:lineRule="auto"/>
        <w:jc w:val="both"/>
        <w:rPr>
          <w:rFonts w:ascii="Nirmala UI" w:hAnsi="Nirmala UI" w:cs="Nirmala UI"/>
          <w:sz w:val="28"/>
          <w:szCs w:val="28"/>
        </w:rPr>
      </w:pPr>
      <w:r>
        <w:rPr>
          <w:rFonts w:ascii="Nirmala UI" w:hAnsi="Nirmala UI" w:cs="Nirmala UI"/>
          <w:sz w:val="28"/>
          <w:szCs w:val="28"/>
        </w:rPr>
        <w:lastRenderedPageBreak/>
        <w:t xml:space="preserve">2.7.5.3 </w:t>
      </w:r>
      <w:r w:rsidRPr="009A2046">
        <w:rPr>
          <w:rFonts w:ascii="Nirmala UI" w:hAnsi="Nirmala UI" w:cs="Nirmala UI"/>
          <w:sz w:val="28"/>
          <w:szCs w:val="28"/>
        </w:rPr>
        <w:t>In some industries, it is common in practice for an entity to hold cash or other financial assets on behalf of a client or another legal entity (e.g. insurance intermediaries, client money accounts or treasury entities). A question that often arises in practice is whether or not these should be on or off-balance sheet.</w:t>
      </w:r>
    </w:p>
    <w:p w14:paraId="2F97B948" w14:textId="77777777" w:rsidR="009A2046" w:rsidRPr="009A2046" w:rsidRDefault="009A2046" w:rsidP="009A2046">
      <w:pPr>
        <w:spacing w:after="0" w:line="360" w:lineRule="auto"/>
        <w:jc w:val="both"/>
        <w:rPr>
          <w:rFonts w:ascii="Nirmala UI" w:hAnsi="Nirmala UI" w:cs="Nirmala UI"/>
          <w:sz w:val="28"/>
          <w:szCs w:val="28"/>
        </w:rPr>
      </w:pPr>
    </w:p>
    <w:p w14:paraId="3C86550C" w14:textId="0DBD3BC5" w:rsidR="009A2046" w:rsidRPr="009A2046" w:rsidRDefault="009A2046" w:rsidP="009A2046">
      <w:pPr>
        <w:spacing w:after="0" w:line="360" w:lineRule="auto"/>
        <w:jc w:val="both"/>
        <w:rPr>
          <w:rFonts w:ascii="Nirmala UI" w:hAnsi="Nirmala UI" w:cs="Nirmala UI"/>
          <w:sz w:val="28"/>
          <w:szCs w:val="28"/>
        </w:rPr>
      </w:pPr>
      <w:r>
        <w:rPr>
          <w:rFonts w:ascii="Nirmala UI" w:hAnsi="Nirmala UI" w:cs="Nirmala UI"/>
          <w:sz w:val="28"/>
          <w:szCs w:val="28"/>
        </w:rPr>
        <w:t xml:space="preserve">2.7.5.4 </w:t>
      </w:r>
      <w:r w:rsidRPr="009A2046">
        <w:rPr>
          <w:rFonts w:ascii="Nirmala UI" w:hAnsi="Nirmala UI" w:cs="Nirmala UI"/>
          <w:sz w:val="28"/>
          <w:szCs w:val="28"/>
        </w:rPr>
        <w:t>Consideration should be given to whether or not the cash or financial assets meet the definition of an ‘asset’ under the Conceptual Framework as </w:t>
      </w:r>
      <w:r w:rsidRPr="009A2046">
        <w:rPr>
          <w:rFonts w:ascii="Nirmala UI" w:hAnsi="Nirmala UI" w:cs="Nirmala UI"/>
          <w:i/>
          <w:iCs/>
          <w:sz w:val="28"/>
          <w:szCs w:val="28"/>
        </w:rPr>
        <w:t>“a present economic resource controlled by the entity as a result of past events.</w:t>
      </w:r>
      <w:r w:rsidRPr="009A2046">
        <w:rPr>
          <w:rFonts w:ascii="Nirmala UI" w:hAnsi="Nirmala UI" w:cs="Nirmala UI"/>
          <w:sz w:val="28"/>
          <w:szCs w:val="28"/>
        </w:rPr>
        <w:t>” ‘Economic resources’, in turn, are defined as “</w:t>
      </w:r>
      <w:r w:rsidRPr="009A2046">
        <w:rPr>
          <w:rFonts w:ascii="Nirmala UI" w:hAnsi="Nirmala UI" w:cs="Nirmala UI"/>
          <w:i/>
          <w:iCs/>
          <w:sz w:val="28"/>
          <w:szCs w:val="28"/>
        </w:rPr>
        <w:t>a right that has the potential to produce economic benefits</w:t>
      </w:r>
      <w:r w:rsidRPr="009A2046">
        <w:rPr>
          <w:rFonts w:ascii="Nirmala UI" w:hAnsi="Nirmala UI" w:cs="Nirmala UI"/>
          <w:sz w:val="28"/>
          <w:szCs w:val="28"/>
        </w:rPr>
        <w:t>”.</w:t>
      </w:r>
    </w:p>
    <w:p w14:paraId="59ED8BA2" w14:textId="77777777" w:rsidR="009A2046" w:rsidRDefault="009A2046" w:rsidP="009A2046">
      <w:pPr>
        <w:spacing w:after="0" w:line="360" w:lineRule="auto"/>
        <w:jc w:val="both"/>
        <w:rPr>
          <w:rFonts w:ascii="Nirmala UI" w:hAnsi="Nirmala UI" w:cs="Nirmala UI"/>
          <w:sz w:val="28"/>
          <w:szCs w:val="28"/>
        </w:rPr>
      </w:pPr>
    </w:p>
    <w:p w14:paraId="08798794" w14:textId="216B3351" w:rsidR="009A2046" w:rsidRDefault="009A2046" w:rsidP="009A2046">
      <w:pPr>
        <w:spacing w:after="0" w:line="360" w:lineRule="auto"/>
        <w:jc w:val="both"/>
        <w:rPr>
          <w:rFonts w:ascii="Nirmala UI" w:hAnsi="Nirmala UI" w:cs="Nirmala UI"/>
          <w:sz w:val="28"/>
          <w:szCs w:val="28"/>
        </w:rPr>
      </w:pPr>
      <w:r>
        <w:rPr>
          <w:rFonts w:ascii="Nirmala UI" w:hAnsi="Nirmala UI" w:cs="Nirmala UI"/>
          <w:sz w:val="28"/>
          <w:szCs w:val="28"/>
        </w:rPr>
        <w:t xml:space="preserve">2.7.5.5 </w:t>
      </w:r>
      <w:r w:rsidRPr="009A2046">
        <w:rPr>
          <w:rFonts w:ascii="Nirmala UI" w:hAnsi="Nirmala UI" w:cs="Nirmala UI"/>
          <w:sz w:val="28"/>
          <w:szCs w:val="28"/>
        </w:rPr>
        <w:t>In considering whether or not an entity has the right to economic benefits, consideration should be given to the following:</w:t>
      </w:r>
    </w:p>
    <w:p w14:paraId="1504337A" w14:textId="77777777" w:rsidR="009A2046" w:rsidRPr="009A2046" w:rsidRDefault="009A2046" w:rsidP="009A2046">
      <w:pPr>
        <w:spacing w:after="0" w:line="360" w:lineRule="auto"/>
        <w:jc w:val="both"/>
        <w:rPr>
          <w:rFonts w:ascii="Nirmala UI" w:hAnsi="Nirmala UI" w:cs="Nirmala UI"/>
          <w:sz w:val="28"/>
          <w:szCs w:val="28"/>
        </w:rPr>
      </w:pPr>
    </w:p>
    <w:p w14:paraId="3952E08E" w14:textId="77777777" w:rsidR="009A2046" w:rsidRPr="009A2046" w:rsidRDefault="009A2046" w:rsidP="009A2046">
      <w:pPr>
        <w:numPr>
          <w:ilvl w:val="0"/>
          <w:numId w:val="4"/>
        </w:numPr>
        <w:spacing w:after="0" w:line="360" w:lineRule="auto"/>
        <w:jc w:val="both"/>
        <w:rPr>
          <w:rFonts w:ascii="Nirmala UI" w:hAnsi="Nirmala UI" w:cs="Nirmala UI"/>
          <w:sz w:val="28"/>
          <w:szCs w:val="28"/>
        </w:rPr>
      </w:pPr>
      <w:r w:rsidRPr="009A2046">
        <w:rPr>
          <w:rFonts w:ascii="Nirmala UI" w:hAnsi="Nirmala UI" w:cs="Nirmala UI"/>
          <w:sz w:val="28"/>
          <w:szCs w:val="28"/>
        </w:rPr>
        <w:t>The ability for the entity to exchange the cash or financial assets for goods or services.</w:t>
      </w:r>
    </w:p>
    <w:p w14:paraId="3B7D6C5F" w14:textId="77777777" w:rsidR="009A2046" w:rsidRPr="009A2046" w:rsidRDefault="009A2046" w:rsidP="009A2046">
      <w:pPr>
        <w:numPr>
          <w:ilvl w:val="0"/>
          <w:numId w:val="4"/>
        </w:numPr>
        <w:spacing w:after="0" w:line="360" w:lineRule="auto"/>
        <w:jc w:val="both"/>
        <w:rPr>
          <w:rFonts w:ascii="Nirmala UI" w:hAnsi="Nirmala UI" w:cs="Nirmala UI"/>
          <w:sz w:val="28"/>
          <w:szCs w:val="28"/>
        </w:rPr>
      </w:pPr>
      <w:r w:rsidRPr="009A2046">
        <w:rPr>
          <w:rFonts w:ascii="Nirmala UI" w:hAnsi="Nirmala UI" w:cs="Nirmala UI"/>
          <w:sz w:val="28"/>
          <w:szCs w:val="28"/>
        </w:rPr>
        <w:t>Who has the economic risk for the cash or financial assets (e.g. credit risk in the event of a default by a counterparty).</w:t>
      </w:r>
    </w:p>
    <w:p w14:paraId="55B3489C" w14:textId="77777777" w:rsidR="009A2046" w:rsidRPr="009A2046" w:rsidRDefault="009A2046" w:rsidP="009A2046">
      <w:pPr>
        <w:numPr>
          <w:ilvl w:val="0"/>
          <w:numId w:val="4"/>
        </w:numPr>
        <w:spacing w:after="0" w:line="360" w:lineRule="auto"/>
        <w:jc w:val="both"/>
        <w:rPr>
          <w:rFonts w:ascii="Nirmala UI" w:hAnsi="Nirmala UI" w:cs="Nirmala UI"/>
          <w:sz w:val="28"/>
          <w:szCs w:val="28"/>
        </w:rPr>
      </w:pPr>
      <w:r w:rsidRPr="009A2046">
        <w:rPr>
          <w:rFonts w:ascii="Nirmala UI" w:hAnsi="Nirmala UI" w:cs="Nirmala UI"/>
          <w:sz w:val="28"/>
          <w:szCs w:val="28"/>
        </w:rPr>
        <w:t>Who has the economic benefits from the cash or financial assets (e.g. interest earned on deposited cash).</w:t>
      </w:r>
    </w:p>
    <w:p w14:paraId="46FAD70F" w14:textId="4453441B" w:rsidR="0035095B" w:rsidRPr="00741300" w:rsidRDefault="00F14E2C" w:rsidP="00741300">
      <w:pPr>
        <w:spacing w:after="0" w:line="360" w:lineRule="auto"/>
        <w:jc w:val="both"/>
        <w:rPr>
          <w:rFonts w:ascii="Nirmala UI" w:hAnsi="Nirmala UI" w:cs="Nirmala UI"/>
          <w:b/>
          <w:bCs/>
          <w:i/>
          <w:iCs/>
          <w:sz w:val="28"/>
          <w:szCs w:val="28"/>
          <w:u w:val="single"/>
        </w:rPr>
      </w:pPr>
      <w:r>
        <w:rPr>
          <w:rFonts w:ascii="Nirmala UI" w:hAnsi="Nirmala UI" w:cs="Nirmala UI"/>
          <w:b/>
          <w:bCs/>
          <w:sz w:val="28"/>
          <w:szCs w:val="28"/>
          <w:u w:val="single"/>
        </w:rPr>
        <w:t xml:space="preserve">2.8 </w:t>
      </w:r>
      <w:r w:rsidR="0035095B" w:rsidRPr="00741300">
        <w:rPr>
          <w:rFonts w:ascii="Nirmala UI" w:hAnsi="Nirmala UI" w:cs="Nirmala UI"/>
          <w:b/>
          <w:bCs/>
          <w:sz w:val="28"/>
          <w:szCs w:val="28"/>
          <w:u w:val="single"/>
        </w:rPr>
        <w:t xml:space="preserve">Ind AS 118, </w:t>
      </w:r>
      <w:r w:rsidR="0035095B" w:rsidRPr="00741300">
        <w:rPr>
          <w:rFonts w:ascii="Nirmala UI" w:hAnsi="Nirmala UI" w:cs="Nirmala UI"/>
          <w:b/>
          <w:bCs/>
          <w:i/>
          <w:iCs/>
          <w:sz w:val="28"/>
          <w:szCs w:val="28"/>
          <w:u w:val="single"/>
        </w:rPr>
        <w:t>Presentation and Disclosure in Financial Statements</w:t>
      </w:r>
    </w:p>
    <w:p w14:paraId="304A5F39" w14:textId="77777777" w:rsidR="00741300" w:rsidRDefault="00741300" w:rsidP="00741300">
      <w:pPr>
        <w:spacing w:after="0" w:line="360" w:lineRule="auto"/>
        <w:jc w:val="both"/>
        <w:rPr>
          <w:rFonts w:ascii="Nirmala UI" w:hAnsi="Nirmala UI" w:cs="Nirmala UI"/>
          <w:sz w:val="28"/>
          <w:szCs w:val="28"/>
        </w:rPr>
      </w:pPr>
    </w:p>
    <w:p w14:paraId="6B5B4FD7" w14:textId="32277F46" w:rsidR="0035095B" w:rsidRPr="00741300" w:rsidRDefault="008D591C"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This part may add-</w:t>
      </w:r>
    </w:p>
    <w:p w14:paraId="4DC32B85" w14:textId="77777777" w:rsidR="00741300" w:rsidRDefault="00741300" w:rsidP="00741300">
      <w:pPr>
        <w:spacing w:after="0" w:line="360" w:lineRule="auto"/>
        <w:jc w:val="both"/>
        <w:rPr>
          <w:rFonts w:ascii="Nirmala UI" w:hAnsi="Nirmala UI" w:cs="Nirmala UI"/>
          <w:sz w:val="28"/>
          <w:szCs w:val="28"/>
        </w:rPr>
      </w:pPr>
    </w:p>
    <w:p w14:paraId="33143075" w14:textId="3033C96D" w:rsidR="008D591C" w:rsidRPr="00741300" w:rsidRDefault="008D591C"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lastRenderedPageBreak/>
        <w:t>‘A</w:t>
      </w:r>
      <w:r w:rsidRPr="00741300">
        <w:rPr>
          <w:rFonts w:ascii="Nirmala UI" w:hAnsi="Nirmala UI" w:cs="Nirmala UI"/>
          <w:sz w:val="28"/>
          <w:szCs w:val="28"/>
        </w:rPr>
        <w:t xml:space="preserve"> disclosure on the nature of expenses when an entity classifies expenses by function, </w:t>
      </w:r>
      <w:r w:rsidRPr="00741300">
        <w:rPr>
          <w:rFonts w:ascii="Nirmala UI" w:hAnsi="Nirmala UI" w:cs="Nirmala UI"/>
          <w:sz w:val="28"/>
          <w:szCs w:val="28"/>
        </w:rPr>
        <w:t>i</w:t>
      </w:r>
      <w:r w:rsidRPr="00741300">
        <w:rPr>
          <w:rFonts w:ascii="Nirmala UI" w:hAnsi="Nirmala UI" w:cs="Nirmala UI"/>
          <w:sz w:val="28"/>
          <w:szCs w:val="28"/>
        </w:rPr>
        <w:t>s required as such information is fundamental for users</w:t>
      </w:r>
      <w:r w:rsidRPr="00741300">
        <w:rPr>
          <w:rFonts w:ascii="Nirmala UI" w:hAnsi="Nirmala UI" w:cs="Nirmala UI"/>
          <w:sz w:val="28"/>
          <w:szCs w:val="28"/>
        </w:rPr>
        <w:t>.’</w:t>
      </w:r>
      <w:r w:rsidRPr="00741300">
        <w:rPr>
          <w:rFonts w:ascii="Nirmala UI" w:hAnsi="Nirmala UI" w:cs="Nirmala UI"/>
          <w:sz w:val="28"/>
          <w:szCs w:val="28"/>
        </w:rPr>
        <w:t xml:space="preserve"> </w:t>
      </w:r>
    </w:p>
    <w:p w14:paraId="706B528C" w14:textId="77777777" w:rsidR="0035095B" w:rsidRPr="00741300" w:rsidRDefault="0035095B" w:rsidP="00741300">
      <w:pPr>
        <w:spacing w:after="0" w:line="360" w:lineRule="auto"/>
        <w:jc w:val="both"/>
        <w:rPr>
          <w:rFonts w:ascii="Nirmala UI" w:hAnsi="Nirmala UI" w:cs="Nirmala UI"/>
          <w:sz w:val="28"/>
          <w:szCs w:val="28"/>
        </w:rPr>
      </w:pPr>
    </w:p>
    <w:p w14:paraId="4FCEC149" w14:textId="08C7882F" w:rsidR="00B31C62" w:rsidRPr="00741300" w:rsidRDefault="00B31C62" w:rsidP="00741300">
      <w:pPr>
        <w:spacing w:after="0" w:line="360" w:lineRule="auto"/>
        <w:jc w:val="both"/>
        <w:rPr>
          <w:rFonts w:ascii="Nirmala UI" w:hAnsi="Nirmala UI" w:cs="Nirmala UI"/>
          <w:b/>
          <w:bCs/>
          <w:sz w:val="28"/>
          <w:szCs w:val="28"/>
          <w:u w:val="single"/>
        </w:rPr>
      </w:pPr>
      <w:r w:rsidRPr="00741300">
        <w:rPr>
          <w:rFonts w:ascii="Nirmala UI" w:hAnsi="Nirmala UI" w:cs="Nirmala UI"/>
          <w:b/>
          <w:bCs/>
          <w:sz w:val="28"/>
          <w:szCs w:val="28"/>
          <w:u w:val="single"/>
        </w:rPr>
        <w:t>Appendix A</w:t>
      </w:r>
      <w:r w:rsidRPr="00741300">
        <w:rPr>
          <w:rFonts w:ascii="Nirmala UI" w:hAnsi="Nirmala UI" w:cs="Nirmala UI"/>
          <w:b/>
          <w:bCs/>
          <w:sz w:val="28"/>
          <w:szCs w:val="28"/>
          <w:u w:val="single"/>
        </w:rPr>
        <w:t xml:space="preserve"> - </w:t>
      </w:r>
      <w:r w:rsidRPr="00741300">
        <w:rPr>
          <w:rFonts w:ascii="Nirmala UI" w:hAnsi="Nirmala UI" w:cs="Nirmala UI"/>
          <w:b/>
          <w:bCs/>
          <w:sz w:val="28"/>
          <w:szCs w:val="28"/>
          <w:u w:val="single"/>
        </w:rPr>
        <w:t>Effective date and transition</w:t>
      </w:r>
    </w:p>
    <w:p w14:paraId="0EA42FD3" w14:textId="77777777" w:rsidR="00741300" w:rsidRDefault="00741300" w:rsidP="00741300">
      <w:pPr>
        <w:spacing w:after="0" w:line="360" w:lineRule="auto"/>
        <w:jc w:val="both"/>
        <w:rPr>
          <w:rFonts w:ascii="Nirmala UI" w:hAnsi="Nirmala UI" w:cs="Nirmala UI"/>
          <w:sz w:val="28"/>
          <w:szCs w:val="28"/>
        </w:rPr>
      </w:pPr>
    </w:p>
    <w:p w14:paraId="0C5A17F9" w14:textId="027CAF29" w:rsidR="00B31C62" w:rsidRPr="00741300" w:rsidRDefault="00B31C62" w:rsidP="00741300">
      <w:pPr>
        <w:spacing w:after="0" w:line="360" w:lineRule="auto"/>
        <w:jc w:val="both"/>
        <w:rPr>
          <w:rFonts w:ascii="Nirmala UI" w:hAnsi="Nirmala UI" w:cs="Nirmala UI"/>
          <w:sz w:val="28"/>
          <w:szCs w:val="28"/>
        </w:rPr>
      </w:pPr>
      <w:r w:rsidRPr="00741300">
        <w:rPr>
          <w:rFonts w:ascii="Nirmala UI" w:hAnsi="Nirmala UI" w:cs="Nirmala UI"/>
          <w:sz w:val="28"/>
          <w:szCs w:val="28"/>
        </w:rPr>
        <w:t xml:space="preserve">The effective date is indicated </w:t>
      </w:r>
      <w:r w:rsidR="00587E7A">
        <w:rPr>
          <w:rFonts w:ascii="Nirmala UI" w:hAnsi="Nirmala UI" w:cs="Nirmala UI"/>
          <w:sz w:val="28"/>
          <w:szCs w:val="28"/>
        </w:rPr>
        <w:t xml:space="preserve">in the ED </w:t>
      </w:r>
      <w:r w:rsidRPr="00741300">
        <w:rPr>
          <w:rFonts w:ascii="Nirmala UI" w:hAnsi="Nirmala UI" w:cs="Nirmala UI"/>
          <w:sz w:val="28"/>
          <w:szCs w:val="28"/>
        </w:rPr>
        <w:t xml:space="preserve">as </w:t>
      </w:r>
      <w:r w:rsidRPr="00741300">
        <w:rPr>
          <w:rFonts w:ascii="Nirmala UI" w:hAnsi="Nirmala UI" w:cs="Nirmala UI"/>
          <w:sz w:val="28"/>
          <w:szCs w:val="28"/>
        </w:rPr>
        <w:t>beginning on or after 1st April 2027.</w:t>
      </w:r>
      <w:r w:rsidRPr="00741300">
        <w:rPr>
          <w:rFonts w:ascii="Nirmala UI" w:hAnsi="Nirmala UI" w:cs="Nirmala UI"/>
          <w:sz w:val="28"/>
          <w:szCs w:val="28"/>
        </w:rPr>
        <w:t xml:space="preserve"> Since the </w:t>
      </w:r>
      <w:proofErr w:type="spellStart"/>
      <w:r w:rsidRPr="00741300">
        <w:rPr>
          <w:rFonts w:ascii="Nirmala UI" w:hAnsi="Nirmala UI" w:cs="Nirmala UI"/>
          <w:sz w:val="28"/>
          <w:szCs w:val="28"/>
        </w:rPr>
        <w:t>IndAS</w:t>
      </w:r>
      <w:proofErr w:type="spellEnd"/>
      <w:r w:rsidRPr="00741300">
        <w:rPr>
          <w:rFonts w:ascii="Nirmala UI" w:hAnsi="Nirmala UI" w:cs="Nirmala UI"/>
          <w:sz w:val="28"/>
          <w:szCs w:val="28"/>
        </w:rPr>
        <w:t xml:space="preserve"> 119 is voluntary</w:t>
      </w:r>
      <w:r w:rsidR="00587E7A">
        <w:rPr>
          <w:rFonts w:ascii="Nirmala UI" w:hAnsi="Nirmala UI" w:cs="Nirmala UI"/>
          <w:sz w:val="28"/>
          <w:szCs w:val="28"/>
        </w:rPr>
        <w:t>,</w:t>
      </w:r>
      <w:r w:rsidRPr="00741300">
        <w:rPr>
          <w:rFonts w:ascii="Nirmala UI" w:hAnsi="Nirmala UI" w:cs="Nirmala UI"/>
          <w:sz w:val="28"/>
          <w:szCs w:val="28"/>
        </w:rPr>
        <w:t xml:space="preserve"> the wording cannot be ‘effective date’ and it has to be ‘date of application’. Further, it could be even from 1 January 2026 when the standards </w:t>
      </w:r>
      <w:r w:rsidR="00741300" w:rsidRPr="00741300">
        <w:rPr>
          <w:rFonts w:ascii="Nirmala UI" w:hAnsi="Nirmala UI" w:cs="Nirmala UI"/>
          <w:sz w:val="28"/>
          <w:szCs w:val="28"/>
        </w:rPr>
        <w:t>are</w:t>
      </w:r>
      <w:r w:rsidRPr="00741300">
        <w:rPr>
          <w:rFonts w:ascii="Nirmala UI" w:hAnsi="Nirmala UI" w:cs="Nirmala UI"/>
          <w:sz w:val="28"/>
          <w:szCs w:val="28"/>
        </w:rPr>
        <w:t xml:space="preserve"> optional.</w:t>
      </w:r>
    </w:p>
    <w:p w14:paraId="7BDBAEF3" w14:textId="77777777" w:rsidR="00B31C62" w:rsidRDefault="00B31C62" w:rsidP="006E1D0F">
      <w:pPr>
        <w:jc w:val="both"/>
        <w:rPr>
          <w:rFonts w:ascii="Nirmala UI" w:hAnsi="Nirmala UI" w:cs="Nirmala UI"/>
          <w:b/>
          <w:bCs/>
          <w:u w:val="single"/>
        </w:rPr>
      </w:pPr>
    </w:p>
    <w:p w14:paraId="50BCBA6F" w14:textId="14A23FF0" w:rsidR="00587E7A" w:rsidRPr="00741300" w:rsidRDefault="00587E7A" w:rsidP="00587E7A">
      <w:pPr>
        <w:jc w:val="center"/>
        <w:rPr>
          <w:rFonts w:ascii="Nirmala UI" w:hAnsi="Nirmala UI" w:cs="Nirmala UI"/>
          <w:b/>
          <w:bCs/>
          <w:u w:val="single"/>
        </w:rPr>
      </w:pPr>
      <w:r>
        <w:rPr>
          <w:rFonts w:ascii="Nirmala UI" w:hAnsi="Nirmala UI" w:cs="Nirmala UI"/>
          <w:b/>
          <w:bCs/>
          <w:noProof/>
          <w:u w:val="single"/>
        </w:rPr>
        <w:drawing>
          <wp:inline distT="0" distB="0" distL="0" distR="0" wp14:anchorId="747A3558" wp14:editId="7834976E">
            <wp:extent cx="79375" cy="79375"/>
            <wp:effectExtent l="0" t="0" r="0" b="0"/>
            <wp:docPr id="3068685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375" cy="79375"/>
                    </a:xfrm>
                    <a:prstGeom prst="rect">
                      <a:avLst/>
                    </a:prstGeom>
                    <a:noFill/>
                  </pic:spPr>
                </pic:pic>
              </a:graphicData>
            </a:graphic>
          </wp:inline>
        </w:drawing>
      </w:r>
    </w:p>
    <w:sectPr w:rsidR="00587E7A" w:rsidRPr="007413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24CB3"/>
    <w:multiLevelType w:val="hybridMultilevel"/>
    <w:tmpl w:val="9EBC09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CA64CDD"/>
    <w:multiLevelType w:val="multilevel"/>
    <w:tmpl w:val="09041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AF149D"/>
    <w:multiLevelType w:val="hybridMultilevel"/>
    <w:tmpl w:val="83EEDC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98144AD"/>
    <w:multiLevelType w:val="hybridMultilevel"/>
    <w:tmpl w:val="FF422D62"/>
    <w:lvl w:ilvl="0" w:tplc="692E938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5922315">
    <w:abstractNumId w:val="0"/>
  </w:num>
  <w:num w:numId="2" w16cid:durableId="1262420112">
    <w:abstractNumId w:val="2"/>
  </w:num>
  <w:num w:numId="3" w16cid:durableId="864291100">
    <w:abstractNumId w:val="3"/>
  </w:num>
  <w:num w:numId="4" w16cid:durableId="574632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D3"/>
    <w:rsid w:val="000361D3"/>
    <w:rsid w:val="00041FDC"/>
    <w:rsid w:val="000E1E49"/>
    <w:rsid w:val="00173BD9"/>
    <w:rsid w:val="002D34F9"/>
    <w:rsid w:val="0034061B"/>
    <w:rsid w:val="003459B4"/>
    <w:rsid w:val="0035095B"/>
    <w:rsid w:val="00417303"/>
    <w:rsid w:val="00435D47"/>
    <w:rsid w:val="00484CA3"/>
    <w:rsid w:val="004951ED"/>
    <w:rsid w:val="004E0DB7"/>
    <w:rsid w:val="00506FD9"/>
    <w:rsid w:val="00531E7C"/>
    <w:rsid w:val="00554B40"/>
    <w:rsid w:val="00587E7A"/>
    <w:rsid w:val="00617F22"/>
    <w:rsid w:val="006C3E43"/>
    <w:rsid w:val="006E1D0F"/>
    <w:rsid w:val="00714B38"/>
    <w:rsid w:val="00741300"/>
    <w:rsid w:val="008268C6"/>
    <w:rsid w:val="008868D9"/>
    <w:rsid w:val="008A6EB9"/>
    <w:rsid w:val="008D591C"/>
    <w:rsid w:val="009A2046"/>
    <w:rsid w:val="00A54DB6"/>
    <w:rsid w:val="00A80F8C"/>
    <w:rsid w:val="00AA0B60"/>
    <w:rsid w:val="00B31C62"/>
    <w:rsid w:val="00CC7EB3"/>
    <w:rsid w:val="00DD34C6"/>
    <w:rsid w:val="00E46768"/>
    <w:rsid w:val="00E50397"/>
    <w:rsid w:val="00E81D36"/>
    <w:rsid w:val="00EE4908"/>
    <w:rsid w:val="00F14E2C"/>
    <w:rsid w:val="00F556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E4D1A"/>
  <w15:chartTrackingRefBased/>
  <w15:docId w15:val="{9621E186-25BA-4371-A00F-5803EB479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1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61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61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61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61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61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1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1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1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1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61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1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61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1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1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1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1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1D3"/>
    <w:rPr>
      <w:rFonts w:eastAsiaTheme="majorEastAsia" w:cstheme="majorBidi"/>
      <w:color w:val="272727" w:themeColor="text1" w:themeTint="D8"/>
    </w:rPr>
  </w:style>
  <w:style w:type="paragraph" w:styleId="Title">
    <w:name w:val="Title"/>
    <w:basedOn w:val="Normal"/>
    <w:next w:val="Normal"/>
    <w:link w:val="TitleChar"/>
    <w:uiPriority w:val="10"/>
    <w:qFormat/>
    <w:rsid w:val="000361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1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1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1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1D3"/>
    <w:pPr>
      <w:spacing w:before="160"/>
      <w:jc w:val="center"/>
    </w:pPr>
    <w:rPr>
      <w:i/>
      <w:iCs/>
      <w:color w:val="404040" w:themeColor="text1" w:themeTint="BF"/>
    </w:rPr>
  </w:style>
  <w:style w:type="character" w:customStyle="1" w:styleId="QuoteChar">
    <w:name w:val="Quote Char"/>
    <w:basedOn w:val="DefaultParagraphFont"/>
    <w:link w:val="Quote"/>
    <w:uiPriority w:val="29"/>
    <w:rsid w:val="000361D3"/>
    <w:rPr>
      <w:i/>
      <w:iCs/>
      <w:color w:val="404040" w:themeColor="text1" w:themeTint="BF"/>
    </w:rPr>
  </w:style>
  <w:style w:type="paragraph" w:styleId="ListParagraph">
    <w:name w:val="List Paragraph"/>
    <w:basedOn w:val="Normal"/>
    <w:uiPriority w:val="34"/>
    <w:qFormat/>
    <w:rsid w:val="000361D3"/>
    <w:pPr>
      <w:ind w:left="720"/>
      <w:contextualSpacing/>
    </w:pPr>
  </w:style>
  <w:style w:type="character" w:styleId="IntenseEmphasis">
    <w:name w:val="Intense Emphasis"/>
    <w:basedOn w:val="DefaultParagraphFont"/>
    <w:uiPriority w:val="21"/>
    <w:qFormat/>
    <w:rsid w:val="000361D3"/>
    <w:rPr>
      <w:i/>
      <w:iCs/>
      <w:color w:val="0F4761" w:themeColor="accent1" w:themeShade="BF"/>
    </w:rPr>
  </w:style>
  <w:style w:type="paragraph" w:styleId="IntenseQuote">
    <w:name w:val="Intense Quote"/>
    <w:basedOn w:val="Normal"/>
    <w:next w:val="Normal"/>
    <w:link w:val="IntenseQuoteChar"/>
    <w:uiPriority w:val="30"/>
    <w:qFormat/>
    <w:rsid w:val="000361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61D3"/>
    <w:rPr>
      <w:i/>
      <w:iCs/>
      <w:color w:val="0F4761" w:themeColor="accent1" w:themeShade="BF"/>
    </w:rPr>
  </w:style>
  <w:style w:type="character" w:styleId="IntenseReference">
    <w:name w:val="Intense Reference"/>
    <w:basedOn w:val="DefaultParagraphFont"/>
    <w:uiPriority w:val="32"/>
    <w:qFormat/>
    <w:rsid w:val="000361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287</TotalTime>
  <Pages>14</Pages>
  <Words>2289</Words>
  <Characters>13050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sircoficai 2027</dc:creator>
  <cp:keywords/>
  <dc:description/>
  <cp:lastModifiedBy>sircoficai 2027</cp:lastModifiedBy>
  <cp:revision>24</cp:revision>
  <dcterms:created xsi:type="dcterms:W3CDTF">2026-02-27T06:38:00Z</dcterms:created>
  <dcterms:modified xsi:type="dcterms:W3CDTF">2026-02-27T11:36:00Z</dcterms:modified>
</cp:coreProperties>
</file>